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0E571" w14:textId="17AA6AF0" w:rsidR="00206368" w:rsidRPr="001F1E46" w:rsidRDefault="00206368" w:rsidP="00206368">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20</w:t>
      </w:r>
      <w:r>
        <w:rPr>
          <w:rFonts w:ascii="Arial" w:hAnsi="Arial"/>
          <w:b/>
          <w:bCs/>
          <w:sz w:val="24"/>
          <w:szCs w:val="24"/>
        </w:rPr>
        <w:tab/>
        <w:t xml:space="preserve">  </w:t>
      </w:r>
      <w:r w:rsidRPr="001F1E46">
        <w:rPr>
          <w:rFonts w:ascii="Arial" w:hAnsi="Arial"/>
          <w:b/>
          <w:bCs/>
          <w:sz w:val="24"/>
          <w:szCs w:val="24"/>
        </w:rPr>
        <w:t xml:space="preserve">                                   </w:t>
      </w:r>
      <w:r w:rsidR="00923251" w:rsidRPr="00923251">
        <w:rPr>
          <w:rFonts w:ascii="Arial" w:hAnsi="Arial"/>
          <w:b/>
          <w:bCs/>
          <w:sz w:val="24"/>
          <w:szCs w:val="24"/>
        </w:rPr>
        <w:t>R2-2211411</w:t>
      </w:r>
    </w:p>
    <w:p w14:paraId="2BCEC72A" w14:textId="69A77C40" w:rsidR="00206368" w:rsidRDefault="00A51CA9" w:rsidP="00206368">
      <w:pPr>
        <w:widowControl w:val="0"/>
        <w:tabs>
          <w:tab w:val="right" w:pos="9639"/>
        </w:tabs>
        <w:spacing w:after="0"/>
        <w:rPr>
          <w:rFonts w:ascii="Arial" w:hAnsi="Arial"/>
          <w:b/>
          <w:bCs/>
          <w:sz w:val="24"/>
          <w:szCs w:val="24"/>
          <w:lang w:eastAsia="zh-CN"/>
        </w:rPr>
      </w:pPr>
      <w:r w:rsidRPr="00A51CA9">
        <w:rPr>
          <w:rFonts w:ascii="Arial" w:hAnsi="Arial"/>
          <w:b/>
          <w:bCs/>
          <w:sz w:val="24"/>
          <w:szCs w:val="24"/>
        </w:rPr>
        <w:t>Toulouse, France</w:t>
      </w:r>
      <w:r w:rsidR="00206368" w:rsidRPr="001F1E46">
        <w:rPr>
          <w:rFonts w:ascii="Arial" w:hAnsi="Arial"/>
          <w:b/>
          <w:bCs/>
          <w:sz w:val="24"/>
          <w:szCs w:val="24"/>
        </w:rPr>
        <w:t xml:space="preserve">, </w:t>
      </w:r>
      <w:r w:rsidR="00206368">
        <w:rPr>
          <w:rFonts w:ascii="Arial" w:hAnsi="Arial"/>
          <w:b/>
          <w:noProof/>
          <w:sz w:val="24"/>
        </w:rPr>
        <w:t>Nov</w:t>
      </w:r>
      <w:r w:rsidR="00206368" w:rsidRPr="002B584B">
        <w:rPr>
          <w:rFonts w:ascii="Arial" w:hAnsi="Arial"/>
          <w:b/>
          <w:noProof/>
          <w:sz w:val="24"/>
        </w:rPr>
        <w:t xml:space="preserve"> </w:t>
      </w:r>
      <w:r w:rsidR="00206368">
        <w:rPr>
          <w:rFonts w:ascii="Arial" w:hAnsi="Arial"/>
          <w:b/>
          <w:noProof/>
          <w:sz w:val="24"/>
        </w:rPr>
        <w:t>14</w:t>
      </w:r>
      <w:r w:rsidR="00206368" w:rsidRPr="002B584B">
        <w:rPr>
          <w:rFonts w:ascii="Arial" w:hAnsi="Arial"/>
          <w:b/>
          <w:noProof/>
          <w:sz w:val="24"/>
        </w:rPr>
        <w:t xml:space="preserve"> – </w:t>
      </w:r>
      <w:r w:rsidR="00206368">
        <w:rPr>
          <w:rFonts w:ascii="Arial" w:hAnsi="Arial"/>
          <w:b/>
          <w:noProof/>
          <w:sz w:val="24"/>
        </w:rPr>
        <w:t>18</w:t>
      </w:r>
      <w:r w:rsidR="00206368" w:rsidRPr="001F1E46">
        <w:rPr>
          <w:rFonts w:ascii="Arial" w:hAnsi="Arial"/>
          <w:b/>
          <w:bCs/>
          <w:sz w:val="24"/>
          <w:szCs w:val="24"/>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F9A1AAD"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r w:rsidR="00206368">
        <w:rPr>
          <w:rFonts w:ascii="Arial" w:eastAsia="MS Mincho" w:hAnsi="Arial" w:cs="Arial"/>
          <w:b/>
          <w:bCs/>
          <w:sz w:val="24"/>
          <w:szCs w:val="24"/>
        </w:rPr>
        <w:t>.</w:t>
      </w:r>
      <w:r w:rsidR="00B575C7">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39F5903"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TN</w:t>
      </w:r>
      <w:r w:rsidR="00B575C7">
        <w:rPr>
          <w:rFonts w:ascii="Arial" w:eastAsia="Times New Roman" w:hAnsi="Arial" w:cs="Arial"/>
          <w:b/>
          <w:bCs/>
          <w:sz w:val="24"/>
        </w:rPr>
        <w:t>-NTN cell reselection enhancements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47EB0D9B" w14:textId="1BC66B56" w:rsidR="00B575C7" w:rsidRPr="000A15EA" w:rsidRDefault="00C360F3" w:rsidP="00B575C7">
      <w:pPr>
        <w:rPr>
          <w:sz w:val="22"/>
          <w:szCs w:val="22"/>
        </w:rPr>
      </w:pPr>
      <w:r>
        <w:rPr>
          <w:sz w:val="22"/>
          <w:szCs w:val="22"/>
        </w:rPr>
        <w:t>For Rel-1</w:t>
      </w:r>
      <w:r w:rsidR="007D6D3B">
        <w:rPr>
          <w:sz w:val="22"/>
          <w:szCs w:val="22"/>
        </w:rPr>
        <w:t xml:space="preserve">8 </w:t>
      </w:r>
      <w:r w:rsidR="007D6D3B" w:rsidRPr="007D6D3B">
        <w:rPr>
          <w:sz w:val="22"/>
          <w:szCs w:val="22"/>
        </w:rPr>
        <w:t xml:space="preserve">NR </w:t>
      </w:r>
      <w:r w:rsidR="00CC7D96">
        <w:rPr>
          <w:sz w:val="22"/>
          <w:szCs w:val="22"/>
        </w:rPr>
        <w:t>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w:t>
      </w:r>
      <w:r w:rsidR="00CC7D96">
        <w:rPr>
          <w:sz w:val="22"/>
          <w:szCs w:val="22"/>
        </w:rPr>
        <w:t xml:space="preserve">further enhance </w:t>
      </w:r>
      <w:r w:rsidR="00B575C7" w:rsidRPr="00B575C7">
        <w:rPr>
          <w:sz w:val="22"/>
          <w:szCs w:val="22"/>
        </w:rPr>
        <w:t xml:space="preserve">TN-NTN cell reselection </w:t>
      </w:r>
      <w:r w:rsidR="004572C4" w:rsidRPr="004572C4">
        <w:rPr>
          <w:sz w:val="22"/>
          <w:szCs w:val="22"/>
        </w:rPr>
        <w:t>to reduce UE power consumption</w:t>
      </w:r>
      <w:r>
        <w:rPr>
          <w:sz w:val="22"/>
          <w:szCs w:val="22"/>
          <w:lang w:val="en-US"/>
        </w:rPr>
        <w:t>.</w:t>
      </w:r>
      <w:r w:rsidR="00206368">
        <w:rPr>
          <w:sz w:val="22"/>
          <w:szCs w:val="22"/>
          <w:lang w:val="en-US"/>
        </w:rPr>
        <w:t xml:space="preserve"> </w:t>
      </w:r>
      <w:r w:rsidR="00B575C7" w:rsidRPr="000A15EA">
        <w:rPr>
          <w:sz w:val="22"/>
          <w:szCs w:val="22"/>
        </w:rPr>
        <w:t>And in RAN2#119, the following agreements were made as high-level guidance:</w:t>
      </w:r>
    </w:p>
    <w:p w14:paraId="07EED7DE" w14:textId="77777777" w:rsidR="004572C4" w:rsidRDefault="004572C4" w:rsidP="002768C5">
      <w:pPr>
        <w:pStyle w:val="Doc-text2"/>
        <w:pBdr>
          <w:top w:val="single" w:sz="4" w:space="1" w:color="auto"/>
          <w:left w:val="single" w:sz="4" w:space="4" w:color="auto"/>
          <w:bottom w:val="single" w:sz="4" w:space="1" w:color="auto"/>
          <w:right w:val="single" w:sz="4" w:space="4" w:color="auto"/>
        </w:pBdr>
        <w:ind w:left="1083"/>
      </w:pPr>
      <w:r>
        <w:t>Agreements:</w:t>
      </w:r>
    </w:p>
    <w:p w14:paraId="70DC1BBD" w14:textId="77777777" w:rsidR="004572C4" w:rsidRDefault="004572C4" w:rsidP="002768C5">
      <w:pPr>
        <w:pStyle w:val="Doc-text2"/>
        <w:numPr>
          <w:ilvl w:val="0"/>
          <w:numId w:val="25"/>
        </w:numPr>
        <w:pBdr>
          <w:top w:val="single" w:sz="4" w:space="1" w:color="auto"/>
          <w:left w:val="single" w:sz="4" w:space="4" w:color="auto"/>
          <w:bottom w:val="single" w:sz="4" w:space="1" w:color="auto"/>
          <w:right w:val="single" w:sz="4" w:space="4" w:color="auto"/>
        </w:pBdr>
        <w:ind w:left="1080"/>
      </w:pPr>
      <w:r>
        <w:t xml:space="preserve">RAN2 to work on a solution so that </w:t>
      </w:r>
      <w:r w:rsidRPr="00A343B9">
        <w:t>measurements for TN’s coverage are performed only when relevant</w:t>
      </w:r>
      <w:r>
        <w:t xml:space="preserve"> (FFS what relevant means). </w:t>
      </w:r>
    </w:p>
    <w:p w14:paraId="4721156D" w14:textId="77777777" w:rsidR="004572C4" w:rsidRDefault="004572C4" w:rsidP="002768C5">
      <w:pPr>
        <w:pStyle w:val="Doc-text2"/>
        <w:numPr>
          <w:ilvl w:val="0"/>
          <w:numId w:val="25"/>
        </w:numPr>
        <w:pBdr>
          <w:top w:val="single" w:sz="4" w:space="1" w:color="auto"/>
          <w:left w:val="single" w:sz="4" w:space="4" w:color="auto"/>
          <w:bottom w:val="single" w:sz="4" w:space="1" w:color="auto"/>
          <w:right w:val="single" w:sz="4" w:space="4" w:color="auto"/>
        </w:pBdr>
        <w:ind w:left="1080"/>
      </w:pPr>
      <w:r>
        <w:t xml:space="preserve">RAN2 to work on </w:t>
      </w:r>
      <w:r w:rsidRPr="008C1230">
        <w:t xml:space="preserve">assistance information </w:t>
      </w:r>
      <w:r>
        <w:t xml:space="preserve">that </w:t>
      </w:r>
      <w:r w:rsidRPr="008C1230">
        <w:t xml:space="preserve">can be provided to NTN UEs </w:t>
      </w:r>
      <w:r>
        <w:t>for the above.</w:t>
      </w:r>
    </w:p>
    <w:p w14:paraId="2A4987AF" w14:textId="5D46189D" w:rsidR="00B575C7" w:rsidRDefault="00B575C7" w:rsidP="00653A6B">
      <w:pPr>
        <w:rPr>
          <w:sz w:val="22"/>
          <w:szCs w:val="22"/>
          <w:lang w:val="en-US"/>
        </w:rPr>
      </w:pPr>
    </w:p>
    <w:p w14:paraId="7650AAAD" w14:textId="6AA39EF6" w:rsidR="00B575C7" w:rsidRDefault="00B575C7" w:rsidP="00653A6B">
      <w:pPr>
        <w:rPr>
          <w:sz w:val="22"/>
          <w:szCs w:val="22"/>
          <w:lang w:val="en-US"/>
        </w:rPr>
      </w:pPr>
      <w:r>
        <w:rPr>
          <w:sz w:val="22"/>
          <w:szCs w:val="22"/>
          <w:lang w:val="en-US"/>
        </w:rPr>
        <w:t>In RAN2#119bis, further progress was made in this aspect.</w:t>
      </w:r>
    </w:p>
    <w:p w14:paraId="4B409BCB" w14:textId="77777777" w:rsidR="00B575C7" w:rsidRDefault="00B575C7" w:rsidP="002768C5">
      <w:pPr>
        <w:pStyle w:val="Doc-text2"/>
        <w:pBdr>
          <w:top w:val="single" w:sz="4" w:space="1" w:color="auto"/>
          <w:left w:val="single" w:sz="4" w:space="4" w:color="auto"/>
          <w:bottom w:val="single" w:sz="4" w:space="1" w:color="auto"/>
          <w:right w:val="single" w:sz="4" w:space="4" w:color="auto"/>
        </w:pBdr>
        <w:ind w:left="1083"/>
      </w:pPr>
      <w:r>
        <w:t>Agreements:</w:t>
      </w:r>
    </w:p>
    <w:p w14:paraId="58E449A9" w14:textId="77777777" w:rsidR="004572C4" w:rsidRDefault="004572C4" w:rsidP="002768C5">
      <w:pPr>
        <w:pStyle w:val="Doc-text2"/>
        <w:numPr>
          <w:ilvl w:val="0"/>
          <w:numId w:val="26"/>
        </w:numPr>
        <w:pBdr>
          <w:top w:val="single" w:sz="4" w:space="1" w:color="auto"/>
          <w:left w:val="single" w:sz="4" w:space="4" w:color="auto"/>
          <w:bottom w:val="single" w:sz="4" w:space="1" w:color="auto"/>
          <w:right w:val="single" w:sz="4" w:space="4" w:color="auto"/>
        </w:pBdr>
        <w:ind w:left="1080"/>
      </w:pPr>
      <w:r w:rsidRPr="006C4A90">
        <w:t>To enhance NTN-TN cell reselection, means are defined for a UE t</w:t>
      </w:r>
      <w:r>
        <w:t>o differentiate when camping in an area only covered by NTN network (earth-moving or earth-fixed) vs an area where TN network(s) is/are also available.</w:t>
      </w:r>
    </w:p>
    <w:p w14:paraId="22163722" w14:textId="51BFBE3B" w:rsidR="00B575C7" w:rsidRDefault="00B575C7" w:rsidP="00653A6B">
      <w:pPr>
        <w:rPr>
          <w:sz w:val="22"/>
          <w:szCs w:val="22"/>
          <w:lang w:val="en-US"/>
        </w:rPr>
      </w:pPr>
    </w:p>
    <w:p w14:paraId="2DFC287A" w14:textId="77777777" w:rsidR="00B575C7" w:rsidRDefault="00B575C7" w:rsidP="002768C5">
      <w:pPr>
        <w:pStyle w:val="Doc-text2"/>
        <w:pBdr>
          <w:top w:val="single" w:sz="4" w:space="1" w:color="auto"/>
          <w:left w:val="single" w:sz="4" w:space="4" w:color="auto"/>
          <w:bottom w:val="single" w:sz="4" w:space="1" w:color="auto"/>
          <w:right w:val="single" w:sz="4" w:space="4" w:color="auto"/>
        </w:pBdr>
        <w:ind w:left="1083"/>
      </w:pPr>
      <w:r>
        <w:t>Agreements:</w:t>
      </w:r>
    </w:p>
    <w:p w14:paraId="1970FB02" w14:textId="77777777" w:rsidR="004572C4" w:rsidRDefault="004572C4" w:rsidP="002768C5">
      <w:pPr>
        <w:pStyle w:val="Doc-text2"/>
        <w:numPr>
          <w:ilvl w:val="0"/>
          <w:numId w:val="27"/>
        </w:numPr>
        <w:pBdr>
          <w:top w:val="single" w:sz="4" w:space="1" w:color="auto"/>
          <w:left w:val="single" w:sz="4" w:space="4" w:color="auto"/>
          <w:bottom w:val="single" w:sz="4" w:space="1" w:color="auto"/>
          <w:right w:val="single" w:sz="4" w:space="4" w:color="auto"/>
        </w:pBdr>
        <w:ind w:left="1080"/>
      </w:pPr>
      <w:r>
        <w:t>UE is not required to perform neighbour cell measurements for TN neighbour cells in an area where there is no TN network coverage.</w:t>
      </w:r>
    </w:p>
    <w:p w14:paraId="6AA67355" w14:textId="77777777" w:rsidR="004D2705" w:rsidRDefault="004D2705" w:rsidP="00653A6B"/>
    <w:p w14:paraId="62C07479" w14:textId="5B110FD7" w:rsidR="007D6D3B" w:rsidRPr="00DB0E02" w:rsidRDefault="007D6D3B" w:rsidP="00653A6B">
      <w:pPr>
        <w:rPr>
          <w:sz w:val="22"/>
          <w:szCs w:val="22"/>
        </w:rPr>
      </w:pPr>
      <w:r w:rsidRPr="00DB0E02">
        <w:rPr>
          <w:sz w:val="22"/>
          <w:szCs w:val="22"/>
        </w:rPr>
        <w:t xml:space="preserve">In this paper, we </w:t>
      </w:r>
      <w:r w:rsidR="00B575C7">
        <w:rPr>
          <w:sz w:val="22"/>
          <w:szCs w:val="22"/>
        </w:rPr>
        <w:t xml:space="preserve">continue discussing </w:t>
      </w:r>
      <w:r w:rsidR="004572C4">
        <w:rPr>
          <w:sz w:val="22"/>
          <w:szCs w:val="22"/>
        </w:rPr>
        <w:t xml:space="preserve">what should be the assistance information </w:t>
      </w:r>
      <w:r w:rsidR="004572C4" w:rsidRPr="004572C4">
        <w:rPr>
          <w:sz w:val="22"/>
          <w:szCs w:val="22"/>
        </w:rPr>
        <w:t>for a UE to differentiate when camping in an area only covered by NTN network (earth-moving or earth-fixed) vs an area where TN network(s) is/are also available</w:t>
      </w:r>
      <w:r w:rsidRPr="00DB0E02">
        <w:rPr>
          <w:sz w:val="22"/>
          <w:szCs w:val="22"/>
        </w:rPr>
        <w:t>.</w:t>
      </w:r>
    </w:p>
    <w:p w14:paraId="75037347" w14:textId="4B76AB9F" w:rsidR="00637A18" w:rsidRDefault="00783B93" w:rsidP="00826C92">
      <w:pPr>
        <w:pStyle w:val="Heading1"/>
        <w:pBdr>
          <w:top w:val="single" w:sz="12" w:space="2" w:color="auto"/>
        </w:pBdr>
      </w:pPr>
      <w:r>
        <w:t xml:space="preserve">Discussion </w:t>
      </w:r>
    </w:p>
    <w:p w14:paraId="4CCE8DC8" w14:textId="78E911F1" w:rsidR="004572C4" w:rsidRDefault="004572C4" w:rsidP="00650D18">
      <w:pPr>
        <w:rPr>
          <w:sz w:val="22"/>
          <w:szCs w:val="22"/>
        </w:rPr>
      </w:pPr>
      <w:r w:rsidRPr="004572C4">
        <w:rPr>
          <w:sz w:val="22"/>
          <w:szCs w:val="22"/>
        </w:rPr>
        <w:t>To reduce</w:t>
      </w:r>
      <w:r w:rsidR="00A8560E" w:rsidRPr="00A8560E">
        <w:rPr>
          <w:sz w:val="22"/>
          <w:szCs w:val="22"/>
        </w:rPr>
        <w:t xml:space="preserve"> </w:t>
      </w:r>
      <w:r w:rsidR="00A8560E" w:rsidRPr="004572C4">
        <w:rPr>
          <w:sz w:val="22"/>
          <w:szCs w:val="22"/>
        </w:rPr>
        <w:t>UE power consumption</w:t>
      </w:r>
      <w:r w:rsidR="00A8560E">
        <w:rPr>
          <w:sz w:val="22"/>
          <w:szCs w:val="22"/>
        </w:rPr>
        <w:t xml:space="preserve"> during TN-NTN cell reselection, RAN2 agreed to work on the means</w:t>
      </w:r>
      <w:r w:rsidR="00A8560E" w:rsidRPr="00A8560E">
        <w:t xml:space="preserve"> </w:t>
      </w:r>
      <w:r w:rsidR="00A8560E" w:rsidRPr="00A8560E">
        <w:rPr>
          <w:sz w:val="22"/>
          <w:szCs w:val="22"/>
        </w:rPr>
        <w:t>for a UE to differentiate when camping in an area only covered by NTN network (earth-moving or earth-fixed) vs an area where TN network(s) is/are also available</w:t>
      </w:r>
      <w:r w:rsidR="00A8560E">
        <w:rPr>
          <w:sz w:val="22"/>
          <w:szCs w:val="22"/>
        </w:rPr>
        <w:t>. The background is</w:t>
      </w:r>
      <w:r w:rsidR="00DF619C">
        <w:rPr>
          <w:sz w:val="22"/>
          <w:szCs w:val="22"/>
        </w:rPr>
        <w:t xml:space="preserve"> TN frequency is usually with higher priority than NTN frequency, </w:t>
      </w:r>
      <w:r w:rsidR="00726D1D">
        <w:rPr>
          <w:sz w:val="22"/>
          <w:szCs w:val="22"/>
        </w:rPr>
        <w:t xml:space="preserve">or network can assign different cell specific offset values to prioritize TN cells in case of intra-frequency deployment, </w:t>
      </w:r>
      <w:r w:rsidR="00DF619C">
        <w:rPr>
          <w:sz w:val="22"/>
          <w:szCs w:val="22"/>
        </w:rPr>
        <w:t>and when a UE camps on a</w:t>
      </w:r>
      <w:r w:rsidR="002346F7">
        <w:rPr>
          <w:sz w:val="22"/>
          <w:szCs w:val="22"/>
        </w:rPr>
        <w:t>n</w:t>
      </w:r>
      <w:r w:rsidR="00DF619C">
        <w:rPr>
          <w:sz w:val="22"/>
          <w:szCs w:val="22"/>
        </w:rPr>
        <w:t xml:space="preserve"> NTN cell it may need to keep measuring high-priority TN </w:t>
      </w:r>
      <w:r w:rsidR="00726D1D">
        <w:rPr>
          <w:sz w:val="22"/>
          <w:szCs w:val="22"/>
        </w:rPr>
        <w:t>neighbour cells</w:t>
      </w:r>
      <w:r w:rsidR="002346F7">
        <w:rPr>
          <w:sz w:val="22"/>
          <w:szCs w:val="22"/>
        </w:rPr>
        <w:t xml:space="preserve">, even if </w:t>
      </w:r>
      <w:r w:rsidR="00726D1D">
        <w:rPr>
          <w:sz w:val="22"/>
          <w:szCs w:val="22"/>
        </w:rPr>
        <w:t>they</w:t>
      </w:r>
      <w:r w:rsidR="002346F7">
        <w:rPr>
          <w:sz w:val="22"/>
          <w:szCs w:val="22"/>
        </w:rPr>
        <w:t xml:space="preserve"> </w:t>
      </w:r>
      <w:r w:rsidR="009C6147">
        <w:rPr>
          <w:sz w:val="22"/>
          <w:szCs w:val="22"/>
        </w:rPr>
        <w:t xml:space="preserve">are </w:t>
      </w:r>
      <w:r w:rsidR="002346F7">
        <w:rPr>
          <w:sz w:val="22"/>
          <w:szCs w:val="22"/>
        </w:rPr>
        <w:t>not available</w:t>
      </w:r>
      <w:r w:rsidR="00726D1D">
        <w:rPr>
          <w:sz w:val="22"/>
          <w:szCs w:val="22"/>
        </w:rPr>
        <w:t xml:space="preserve"> in current area</w:t>
      </w:r>
      <w:r w:rsidR="00DF619C">
        <w:rPr>
          <w:sz w:val="22"/>
          <w:szCs w:val="22"/>
        </w:rPr>
        <w:t xml:space="preserve">. By introducing </w:t>
      </w:r>
      <w:r w:rsidR="000479B8">
        <w:rPr>
          <w:sz w:val="22"/>
          <w:szCs w:val="22"/>
        </w:rPr>
        <w:t xml:space="preserve">some </w:t>
      </w:r>
      <w:r w:rsidR="00DF619C">
        <w:rPr>
          <w:sz w:val="22"/>
          <w:szCs w:val="22"/>
        </w:rPr>
        <w:t xml:space="preserve">means, the intention could be </w:t>
      </w:r>
      <w:r w:rsidR="00AD02A4">
        <w:rPr>
          <w:sz w:val="22"/>
          <w:szCs w:val="22"/>
        </w:rPr>
        <w:t xml:space="preserve">for </w:t>
      </w:r>
      <w:r w:rsidR="00DF619C" w:rsidRPr="00DF619C">
        <w:rPr>
          <w:sz w:val="22"/>
          <w:szCs w:val="22"/>
        </w:rPr>
        <w:t>UE not</w:t>
      </w:r>
      <w:r w:rsidR="00820107">
        <w:rPr>
          <w:sz w:val="22"/>
          <w:szCs w:val="22"/>
        </w:rPr>
        <w:t xml:space="preserve"> having </w:t>
      </w:r>
      <w:r w:rsidR="00DF619C" w:rsidRPr="00DF619C">
        <w:rPr>
          <w:sz w:val="22"/>
          <w:szCs w:val="22"/>
        </w:rPr>
        <w:t>to perform neighbour cell measurements for TN neighbour cells in an area where there is no TN network coverage</w:t>
      </w:r>
      <w:r w:rsidR="00DF619C">
        <w:rPr>
          <w:sz w:val="22"/>
          <w:szCs w:val="22"/>
        </w:rPr>
        <w:t xml:space="preserve"> for UE power saving.</w:t>
      </w:r>
    </w:p>
    <w:p w14:paraId="566E7E82" w14:textId="4E3FF60C" w:rsidR="00DF619C" w:rsidRDefault="00DF619C" w:rsidP="00650D18">
      <w:pPr>
        <w:rPr>
          <w:sz w:val="22"/>
          <w:szCs w:val="22"/>
        </w:rPr>
      </w:pPr>
      <w:r>
        <w:rPr>
          <w:sz w:val="22"/>
          <w:szCs w:val="22"/>
        </w:rPr>
        <w:t>In RAN2#119bis, several options have been proposed by companies:</w:t>
      </w:r>
    </w:p>
    <w:p w14:paraId="06CF0D7E" w14:textId="0E322D7E" w:rsidR="00DF619C" w:rsidRPr="00DF619C" w:rsidRDefault="00DF619C" w:rsidP="00757D62">
      <w:pPr>
        <w:ind w:left="720"/>
        <w:rPr>
          <w:b/>
          <w:bCs/>
          <w:sz w:val="22"/>
          <w:szCs w:val="22"/>
          <w:u w:val="single"/>
        </w:rPr>
      </w:pPr>
      <w:r w:rsidRPr="00DF619C">
        <w:rPr>
          <w:b/>
          <w:bCs/>
          <w:sz w:val="22"/>
          <w:szCs w:val="22"/>
          <w:u w:val="single"/>
        </w:rPr>
        <w:lastRenderedPageBreak/>
        <w:t>List of options:</w:t>
      </w:r>
    </w:p>
    <w:p w14:paraId="754F3308" w14:textId="77777777" w:rsidR="00DF619C" w:rsidRPr="00DF619C" w:rsidRDefault="00DF619C" w:rsidP="00757D62">
      <w:pPr>
        <w:ind w:left="720"/>
        <w:rPr>
          <w:sz w:val="22"/>
          <w:szCs w:val="22"/>
        </w:rPr>
      </w:pPr>
      <w:r w:rsidRPr="00DF619C">
        <w:rPr>
          <w:sz w:val="22"/>
          <w:szCs w:val="22"/>
        </w:rPr>
        <w:t>1.</w:t>
      </w:r>
      <w:r w:rsidRPr="00DF619C">
        <w:rPr>
          <w:sz w:val="22"/>
          <w:szCs w:val="22"/>
        </w:rPr>
        <w:tab/>
        <w:t>The cell center and cell radius of TN neighbour cells, or in other terms, the reference location and a distance threshold of TN neighbour cells</w:t>
      </w:r>
    </w:p>
    <w:p w14:paraId="7A65A307" w14:textId="77777777" w:rsidR="00DF619C" w:rsidRPr="00DF619C" w:rsidRDefault="00DF619C" w:rsidP="00757D62">
      <w:pPr>
        <w:ind w:left="720"/>
        <w:rPr>
          <w:sz w:val="22"/>
          <w:szCs w:val="22"/>
        </w:rPr>
      </w:pPr>
      <w:r w:rsidRPr="00DF619C">
        <w:rPr>
          <w:sz w:val="22"/>
          <w:szCs w:val="22"/>
        </w:rPr>
        <w:t>2.</w:t>
      </w:r>
      <w:r w:rsidRPr="00DF619C">
        <w:rPr>
          <w:sz w:val="22"/>
          <w:szCs w:val="22"/>
        </w:rPr>
        <w:tab/>
        <w:t>The boundary line between TN area and NTN area</w:t>
      </w:r>
    </w:p>
    <w:p w14:paraId="282C3DC1" w14:textId="77777777" w:rsidR="00DF619C" w:rsidRPr="00DF619C" w:rsidRDefault="00DF619C" w:rsidP="00757D62">
      <w:pPr>
        <w:ind w:left="720"/>
        <w:rPr>
          <w:sz w:val="22"/>
          <w:szCs w:val="22"/>
        </w:rPr>
      </w:pPr>
      <w:r w:rsidRPr="00DF619C">
        <w:rPr>
          <w:sz w:val="22"/>
          <w:szCs w:val="22"/>
        </w:rPr>
        <w:t>3.</w:t>
      </w:r>
      <w:r w:rsidRPr="00DF619C">
        <w:rPr>
          <w:sz w:val="22"/>
          <w:szCs w:val="22"/>
        </w:rPr>
        <w:tab/>
        <w:t xml:space="preserve">For quasi-earth fixed cells, TN coverage is described by </w:t>
      </w:r>
      <w:bookmarkStart w:id="0" w:name="_Hlk118397874"/>
      <w:r w:rsidRPr="00DF619C">
        <w:rPr>
          <w:sz w:val="22"/>
          <w:szCs w:val="22"/>
        </w:rPr>
        <w:t>a distance range from the cell center and an angle range based on a reference direction</w:t>
      </w:r>
      <w:bookmarkEnd w:id="0"/>
    </w:p>
    <w:p w14:paraId="4449D27B" w14:textId="77777777" w:rsidR="00DF619C" w:rsidRPr="00DF619C" w:rsidRDefault="00DF619C" w:rsidP="00757D62">
      <w:pPr>
        <w:ind w:left="720"/>
        <w:rPr>
          <w:sz w:val="22"/>
          <w:szCs w:val="22"/>
        </w:rPr>
      </w:pPr>
      <w:r w:rsidRPr="00DF619C">
        <w:rPr>
          <w:sz w:val="22"/>
          <w:szCs w:val="22"/>
        </w:rPr>
        <w:t>4.</w:t>
      </w:r>
      <w:r w:rsidRPr="00DF619C">
        <w:rPr>
          <w:sz w:val="22"/>
          <w:szCs w:val="22"/>
        </w:rPr>
        <w:tab/>
        <w:t>An indication could be included in system information to indicate NTN cell’s coverage overlaps with terrestrial TN cell’s coverage</w:t>
      </w:r>
    </w:p>
    <w:p w14:paraId="5F1C8974" w14:textId="77777777" w:rsidR="00DF619C" w:rsidRPr="00DF619C" w:rsidRDefault="00DF619C" w:rsidP="00757D62">
      <w:pPr>
        <w:ind w:left="720"/>
        <w:rPr>
          <w:sz w:val="22"/>
          <w:szCs w:val="22"/>
        </w:rPr>
      </w:pPr>
      <w:r w:rsidRPr="00DF619C">
        <w:rPr>
          <w:sz w:val="22"/>
          <w:szCs w:val="22"/>
        </w:rPr>
        <w:t>5.</w:t>
      </w:r>
      <w:r w:rsidRPr="00DF619C">
        <w:rPr>
          <w:sz w:val="22"/>
          <w:szCs w:val="22"/>
        </w:rPr>
        <w:tab/>
        <w:t>NTN cell can be divided to several virtual areas based on certain criteria. The virtual areas and the corresponding TN frequency information are broadcast as assistance information to help UE perform more accurate TN measurements.</w:t>
      </w:r>
    </w:p>
    <w:p w14:paraId="3607F61E" w14:textId="64D21FFF" w:rsidR="00DF619C" w:rsidRPr="004572C4" w:rsidRDefault="00DF619C" w:rsidP="00757D62">
      <w:pPr>
        <w:spacing w:after="240"/>
        <w:ind w:left="720"/>
        <w:rPr>
          <w:sz w:val="22"/>
          <w:szCs w:val="22"/>
        </w:rPr>
      </w:pPr>
      <w:r w:rsidRPr="00DF619C">
        <w:rPr>
          <w:sz w:val="22"/>
          <w:szCs w:val="22"/>
        </w:rPr>
        <w:t>6.</w:t>
      </w:r>
      <w:r w:rsidRPr="00DF619C">
        <w:rPr>
          <w:sz w:val="22"/>
          <w:szCs w:val="22"/>
        </w:rPr>
        <w:tab/>
        <w:t>Introduce a parameter using the polygon shape captured in TS 23.032 to describe the coverage area of a TN neighbour cell.</w:t>
      </w:r>
    </w:p>
    <w:p w14:paraId="460D473A" w14:textId="4DEF6C21" w:rsidR="002346F7" w:rsidRDefault="002346F7" w:rsidP="004572C4">
      <w:pPr>
        <w:rPr>
          <w:sz w:val="22"/>
          <w:szCs w:val="22"/>
        </w:rPr>
      </w:pPr>
      <w:r>
        <w:rPr>
          <w:sz w:val="22"/>
          <w:szCs w:val="22"/>
        </w:rPr>
        <w:t>In total</w:t>
      </w:r>
      <w:r w:rsidR="00820107">
        <w:rPr>
          <w:sz w:val="22"/>
          <w:szCs w:val="22"/>
        </w:rPr>
        <w:t>,</w:t>
      </w:r>
      <w:r>
        <w:rPr>
          <w:sz w:val="22"/>
          <w:szCs w:val="22"/>
        </w:rPr>
        <w:t xml:space="preserve"> we prefer explicit description of geographical TN area, and option 1, 2 and 6 are all acceptable</w:t>
      </w:r>
      <w:r w:rsidR="00AB389E">
        <w:rPr>
          <w:sz w:val="22"/>
          <w:szCs w:val="22"/>
        </w:rPr>
        <w:t xml:space="preserve"> to us</w:t>
      </w:r>
      <w:r>
        <w:rPr>
          <w:sz w:val="22"/>
          <w:szCs w:val="22"/>
        </w:rPr>
        <w:t>. For option 3,</w:t>
      </w:r>
      <w:r w:rsidR="00B22747">
        <w:rPr>
          <w:sz w:val="22"/>
          <w:szCs w:val="22"/>
        </w:rPr>
        <w:t xml:space="preserve"> </w:t>
      </w:r>
      <w:r w:rsidR="007F64D7">
        <w:rPr>
          <w:sz w:val="22"/>
          <w:szCs w:val="22"/>
        </w:rPr>
        <w:t xml:space="preserve">we understand </w:t>
      </w:r>
      <w:r w:rsidR="00B22747">
        <w:rPr>
          <w:rFonts w:eastAsia="SimSun"/>
          <w:sz w:val="22"/>
          <w:szCs w:val="22"/>
          <w:lang w:val="en-US" w:eastAsia="zh-CN"/>
        </w:rPr>
        <w:t>“</w:t>
      </w:r>
      <w:r w:rsidR="00FA4796" w:rsidRPr="00FA4796">
        <w:rPr>
          <w:rFonts w:eastAsia="SimSun"/>
          <w:sz w:val="22"/>
          <w:szCs w:val="22"/>
          <w:lang w:val="en-US" w:eastAsia="zh-CN"/>
        </w:rPr>
        <w:t>a distance range from the cell center and an angle range based on a reference direction</w:t>
      </w:r>
      <w:r w:rsidR="00FA4796">
        <w:rPr>
          <w:rFonts w:eastAsia="SimSun"/>
          <w:sz w:val="22"/>
          <w:szCs w:val="22"/>
          <w:lang w:val="en-US" w:eastAsia="zh-CN"/>
        </w:rPr>
        <w:t>”</w:t>
      </w:r>
      <w:r w:rsidR="007F64D7">
        <w:rPr>
          <w:sz w:val="22"/>
          <w:szCs w:val="22"/>
        </w:rPr>
        <w:t xml:space="preserve"> </w:t>
      </w:r>
      <w:r w:rsidR="00FA4796">
        <w:rPr>
          <w:sz w:val="22"/>
          <w:szCs w:val="22"/>
        </w:rPr>
        <w:t>are</w:t>
      </w:r>
      <w:r w:rsidR="007F64D7">
        <w:rPr>
          <w:sz w:val="22"/>
          <w:szCs w:val="22"/>
        </w:rPr>
        <w:t xml:space="preserve"> used to illustrate a slice</w:t>
      </w:r>
      <w:r w:rsidR="00DB7E6B">
        <w:rPr>
          <w:sz w:val="22"/>
          <w:szCs w:val="22"/>
        </w:rPr>
        <w:t xml:space="preserve"> of a pie chart</w:t>
      </w:r>
      <w:r w:rsidR="00C67696">
        <w:rPr>
          <w:sz w:val="22"/>
          <w:szCs w:val="22"/>
        </w:rPr>
        <w:t xml:space="preserve"> or a fan shape</w:t>
      </w:r>
      <w:r w:rsidR="00735D7A">
        <w:rPr>
          <w:sz w:val="22"/>
          <w:szCs w:val="22"/>
        </w:rPr>
        <w:t xml:space="preserve"> within an NTN cell</w:t>
      </w:r>
      <w:r w:rsidR="00DB7E6B">
        <w:rPr>
          <w:sz w:val="22"/>
          <w:szCs w:val="22"/>
        </w:rPr>
        <w:t xml:space="preserve">, which is basically the same intention </w:t>
      </w:r>
      <w:r w:rsidR="00AB389E">
        <w:rPr>
          <w:sz w:val="22"/>
          <w:szCs w:val="22"/>
        </w:rPr>
        <w:t xml:space="preserve">as </w:t>
      </w:r>
      <w:r w:rsidR="00DB7E6B">
        <w:rPr>
          <w:sz w:val="22"/>
          <w:szCs w:val="22"/>
        </w:rPr>
        <w:t>with option 6.</w:t>
      </w:r>
      <w:r w:rsidR="009A7717">
        <w:rPr>
          <w:sz w:val="22"/>
          <w:szCs w:val="22"/>
        </w:rPr>
        <w:t xml:space="preserve"> </w:t>
      </w:r>
      <w:r w:rsidR="003E68DE">
        <w:rPr>
          <w:sz w:val="22"/>
          <w:szCs w:val="22"/>
        </w:rPr>
        <w:t>O</w:t>
      </w:r>
      <w:r w:rsidR="00A34E6D">
        <w:rPr>
          <w:sz w:val="22"/>
          <w:szCs w:val="22"/>
        </w:rPr>
        <w:t xml:space="preserve">ption 3 only uses </w:t>
      </w:r>
      <w:r w:rsidR="003E68DE">
        <w:rPr>
          <w:sz w:val="22"/>
          <w:szCs w:val="22"/>
        </w:rPr>
        <w:t xml:space="preserve">a </w:t>
      </w:r>
      <w:r w:rsidR="00A34E6D">
        <w:rPr>
          <w:sz w:val="22"/>
          <w:szCs w:val="22"/>
        </w:rPr>
        <w:t>fan shape</w:t>
      </w:r>
      <w:r w:rsidR="00120A8B">
        <w:rPr>
          <w:sz w:val="22"/>
          <w:szCs w:val="22"/>
        </w:rPr>
        <w:t xml:space="preserve">, </w:t>
      </w:r>
      <w:r w:rsidR="009B3B32">
        <w:rPr>
          <w:sz w:val="22"/>
          <w:szCs w:val="22"/>
        </w:rPr>
        <w:t>but</w:t>
      </w:r>
      <w:r w:rsidR="00120A8B">
        <w:rPr>
          <w:sz w:val="22"/>
          <w:szCs w:val="22"/>
        </w:rPr>
        <w:t xml:space="preserve"> any close shape could be used</w:t>
      </w:r>
      <w:r w:rsidR="009B3B32">
        <w:rPr>
          <w:sz w:val="22"/>
          <w:szCs w:val="22"/>
        </w:rPr>
        <w:t xml:space="preserve"> as mentioned in option 6</w:t>
      </w:r>
      <w:r w:rsidR="00120A8B">
        <w:rPr>
          <w:sz w:val="22"/>
          <w:szCs w:val="22"/>
        </w:rPr>
        <w:t xml:space="preserve"> to illustrate a TN area</w:t>
      </w:r>
      <w:r w:rsidR="009B3B32">
        <w:rPr>
          <w:sz w:val="22"/>
          <w:szCs w:val="22"/>
        </w:rPr>
        <w:t xml:space="preserve">. So, </w:t>
      </w:r>
      <w:r w:rsidR="009A7717">
        <w:rPr>
          <w:sz w:val="22"/>
          <w:szCs w:val="22"/>
        </w:rPr>
        <w:t xml:space="preserve">compared to option </w:t>
      </w:r>
      <w:r w:rsidR="00A234FD">
        <w:rPr>
          <w:sz w:val="22"/>
          <w:szCs w:val="22"/>
        </w:rPr>
        <w:t>3</w:t>
      </w:r>
      <w:r w:rsidR="009A7717">
        <w:rPr>
          <w:sz w:val="22"/>
          <w:szCs w:val="22"/>
        </w:rPr>
        <w:t xml:space="preserve">, </w:t>
      </w:r>
      <w:r w:rsidR="00115DAA">
        <w:rPr>
          <w:sz w:val="22"/>
          <w:szCs w:val="22"/>
        </w:rPr>
        <w:t>it would be more flexible</w:t>
      </w:r>
      <w:r w:rsidR="00FB60AE">
        <w:rPr>
          <w:sz w:val="22"/>
          <w:szCs w:val="22"/>
        </w:rPr>
        <w:t xml:space="preserve"> and accurate</w:t>
      </w:r>
      <w:r w:rsidR="00115DAA">
        <w:rPr>
          <w:sz w:val="22"/>
          <w:szCs w:val="22"/>
        </w:rPr>
        <w:t xml:space="preserve"> to use close shape</w:t>
      </w:r>
      <w:r w:rsidR="0054043A">
        <w:rPr>
          <w:sz w:val="22"/>
          <w:szCs w:val="22"/>
        </w:rPr>
        <w:t>s</w:t>
      </w:r>
      <w:r w:rsidR="00E659DE">
        <w:rPr>
          <w:sz w:val="22"/>
          <w:szCs w:val="22"/>
        </w:rPr>
        <w:t xml:space="preserve"> in option 6</w:t>
      </w:r>
      <w:r w:rsidR="0015004C">
        <w:rPr>
          <w:sz w:val="22"/>
          <w:szCs w:val="22"/>
        </w:rPr>
        <w:t xml:space="preserve"> than solely by a fan shape</w:t>
      </w:r>
      <w:r w:rsidR="00681FD4">
        <w:rPr>
          <w:sz w:val="22"/>
          <w:szCs w:val="22"/>
        </w:rPr>
        <w:t>. For option 4, this overlap indication is a general indication without detailed geographical information, so the UE still doesn’t know if there is TN coverage at current UE location based on this indication. In option 5, the virtual areas need to be defined first, we think this is a redundant step compared to direct geographical description of TN coverage.</w:t>
      </w:r>
    </w:p>
    <w:p w14:paraId="126E422E" w14:textId="3851EAD6" w:rsidR="00B23445" w:rsidRPr="00B23445" w:rsidRDefault="00B23445" w:rsidP="004572C4">
      <w:pPr>
        <w:rPr>
          <w:b/>
          <w:bCs/>
          <w:sz w:val="22"/>
          <w:szCs w:val="22"/>
        </w:rPr>
      </w:pPr>
      <w:r w:rsidRPr="00B23445">
        <w:rPr>
          <w:b/>
          <w:bCs/>
          <w:sz w:val="22"/>
          <w:szCs w:val="22"/>
        </w:rPr>
        <w:t xml:space="preserve">Observation 1: The explicit description of geographical TN area </w:t>
      </w:r>
      <w:r w:rsidR="00234260">
        <w:rPr>
          <w:b/>
          <w:bCs/>
          <w:sz w:val="22"/>
          <w:szCs w:val="22"/>
        </w:rPr>
        <w:t>seems</w:t>
      </w:r>
      <w:r w:rsidR="00234260" w:rsidRPr="00B23445">
        <w:rPr>
          <w:b/>
          <w:bCs/>
          <w:sz w:val="22"/>
          <w:szCs w:val="22"/>
        </w:rPr>
        <w:t xml:space="preserve"> </w:t>
      </w:r>
      <w:r w:rsidRPr="00B23445">
        <w:rPr>
          <w:b/>
          <w:bCs/>
          <w:sz w:val="22"/>
          <w:szCs w:val="22"/>
        </w:rPr>
        <w:t>more straightforward and with less spec impact.</w:t>
      </w:r>
    </w:p>
    <w:p w14:paraId="72ED3C31" w14:textId="46E4DCC8" w:rsidR="00726D1D" w:rsidRDefault="00163C29" w:rsidP="004572C4">
      <w:pPr>
        <w:rPr>
          <w:sz w:val="22"/>
          <w:szCs w:val="22"/>
        </w:rPr>
      </w:pPr>
      <w:r>
        <w:rPr>
          <w:sz w:val="22"/>
          <w:szCs w:val="22"/>
        </w:rPr>
        <w:t>Regarding how</w:t>
      </w:r>
      <w:r w:rsidRPr="009A6550">
        <w:rPr>
          <w:sz w:val="22"/>
          <w:szCs w:val="22"/>
        </w:rPr>
        <w:t xml:space="preserve"> to indicate the </w:t>
      </w:r>
      <w:r>
        <w:rPr>
          <w:sz w:val="22"/>
          <w:szCs w:val="22"/>
        </w:rPr>
        <w:t xml:space="preserve">geographical area of TN neighbour cells </w:t>
      </w:r>
      <w:r w:rsidRPr="009A6550">
        <w:rPr>
          <w:sz w:val="22"/>
          <w:szCs w:val="22"/>
        </w:rPr>
        <w:t xml:space="preserve">within </w:t>
      </w:r>
      <w:r>
        <w:rPr>
          <w:sz w:val="22"/>
          <w:szCs w:val="22"/>
        </w:rPr>
        <w:t>current</w:t>
      </w:r>
      <w:r w:rsidRPr="009A6550">
        <w:rPr>
          <w:sz w:val="22"/>
          <w:szCs w:val="22"/>
        </w:rPr>
        <w:t xml:space="preserve"> NTN cell</w:t>
      </w:r>
      <w:r>
        <w:rPr>
          <w:sz w:val="22"/>
          <w:szCs w:val="22"/>
        </w:rPr>
        <w:t>, i</w:t>
      </w:r>
      <w:r w:rsidR="00726D1D">
        <w:rPr>
          <w:sz w:val="22"/>
          <w:szCs w:val="22"/>
        </w:rPr>
        <w:t>n the following sub-sections, we elaborate on how option 1, 2, and 6 work.</w:t>
      </w:r>
    </w:p>
    <w:p w14:paraId="636C6730" w14:textId="1B91C1CF" w:rsidR="004572C4" w:rsidRPr="009A6550" w:rsidRDefault="004572C4" w:rsidP="00163C29">
      <w:pPr>
        <w:rPr>
          <w:sz w:val="22"/>
          <w:szCs w:val="22"/>
        </w:rPr>
      </w:pPr>
      <w:r w:rsidRPr="00C13112">
        <w:rPr>
          <w:b/>
          <w:bCs/>
          <w:sz w:val="22"/>
          <w:szCs w:val="22"/>
          <w:u w:val="single"/>
        </w:rPr>
        <w:t>Option 1:</w:t>
      </w:r>
      <w:r w:rsidRPr="009A6550">
        <w:rPr>
          <w:sz w:val="22"/>
          <w:szCs w:val="22"/>
        </w:rPr>
        <w:t xml:space="preserve"> for each TN neighbour cell, the corresponding geographical area information is provided by network, e.g., </w:t>
      </w:r>
      <w:r>
        <w:rPr>
          <w:sz w:val="22"/>
          <w:szCs w:val="22"/>
        </w:rPr>
        <w:t>approximate</w:t>
      </w:r>
      <w:r w:rsidRPr="009A6550">
        <w:rPr>
          <w:sz w:val="22"/>
          <w:szCs w:val="22"/>
        </w:rPr>
        <w:t xml:space="preserve"> cell center and cell radius, as illustrated in Figure </w:t>
      </w:r>
      <w:r w:rsidR="00163C29">
        <w:rPr>
          <w:sz w:val="22"/>
          <w:szCs w:val="22"/>
        </w:rPr>
        <w:t>1</w:t>
      </w:r>
      <w:r w:rsidRPr="009A6550">
        <w:rPr>
          <w:sz w:val="22"/>
          <w:szCs w:val="22"/>
        </w:rPr>
        <w:t xml:space="preserve"> there are 3 TN neighbour cells within an NTN cell. </w:t>
      </w:r>
      <w:r w:rsidR="00163C29">
        <w:rPr>
          <w:sz w:val="22"/>
          <w:szCs w:val="22"/>
        </w:rPr>
        <w:t>And this is also applicable when a neighbour cell is near current NTN serving cell, but not totally within this NTN cell.</w:t>
      </w:r>
      <w:r w:rsidRPr="009A6550">
        <w:rPr>
          <w:sz w:val="22"/>
          <w:szCs w:val="22"/>
        </w:rPr>
        <w:t xml:space="preserve"> </w:t>
      </w:r>
    </w:p>
    <w:p w14:paraId="50BF96FB" w14:textId="77777777" w:rsidR="004572C4" w:rsidRPr="005F3CBC" w:rsidRDefault="004572C4" w:rsidP="004572C4">
      <w:pPr>
        <w:pStyle w:val="N1"/>
        <w:ind w:left="1354"/>
        <w:rPr>
          <w:rFonts w:eastAsia="Times New Roman"/>
        </w:rPr>
      </w:pPr>
    </w:p>
    <w:p w14:paraId="61100AFA" w14:textId="77777777" w:rsidR="004572C4" w:rsidRPr="005F3CBC" w:rsidRDefault="004572C4" w:rsidP="004572C4">
      <w:pPr>
        <w:pStyle w:val="N1"/>
        <w:ind w:left="0"/>
        <w:jc w:val="center"/>
      </w:pPr>
      <w:r w:rsidRPr="005F3CBC">
        <w:object w:dxaOrig="5808" w:dyaOrig="5809" w14:anchorId="2D1E1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177pt" o:ole="">
            <v:imagedata r:id="rId11" o:title=""/>
          </v:shape>
          <o:OLEObject Type="Embed" ProgID="Visio.Drawing.15" ShapeID="_x0000_i1025" DrawAspect="Content" ObjectID="_1729021323" r:id="rId12"/>
        </w:object>
      </w:r>
    </w:p>
    <w:p w14:paraId="3F81F2F6" w14:textId="77777777" w:rsidR="004572C4" w:rsidRPr="005F3CBC" w:rsidRDefault="004572C4" w:rsidP="004572C4">
      <w:pPr>
        <w:pStyle w:val="N1"/>
        <w:jc w:val="center"/>
      </w:pPr>
    </w:p>
    <w:p w14:paraId="77528E8C" w14:textId="0AD023B7" w:rsidR="004572C4" w:rsidRPr="009A6550" w:rsidRDefault="004572C4" w:rsidP="004572C4">
      <w:pPr>
        <w:jc w:val="center"/>
        <w:rPr>
          <w:b/>
          <w:bCs/>
          <w:sz w:val="22"/>
          <w:szCs w:val="22"/>
        </w:rPr>
      </w:pPr>
      <w:r w:rsidRPr="009A6550">
        <w:rPr>
          <w:b/>
          <w:bCs/>
          <w:sz w:val="22"/>
          <w:szCs w:val="22"/>
        </w:rPr>
        <w:lastRenderedPageBreak/>
        <w:t xml:space="preserve">Figure </w:t>
      </w:r>
      <w:r w:rsidR="00B23445">
        <w:rPr>
          <w:b/>
          <w:bCs/>
          <w:sz w:val="22"/>
          <w:szCs w:val="22"/>
        </w:rPr>
        <w:t>1</w:t>
      </w:r>
      <w:r w:rsidRPr="009A6550">
        <w:rPr>
          <w:b/>
          <w:bCs/>
          <w:sz w:val="22"/>
          <w:szCs w:val="22"/>
        </w:rPr>
        <w:t xml:space="preserve">: </w:t>
      </w:r>
      <w:r w:rsidR="00B23445">
        <w:rPr>
          <w:b/>
          <w:bCs/>
          <w:sz w:val="22"/>
          <w:szCs w:val="22"/>
        </w:rPr>
        <w:t>geographical</w:t>
      </w:r>
      <w:r w:rsidRPr="009A6550">
        <w:rPr>
          <w:b/>
          <w:bCs/>
          <w:sz w:val="22"/>
          <w:szCs w:val="22"/>
        </w:rPr>
        <w:t xml:space="preserve"> area </w:t>
      </w:r>
      <w:r w:rsidR="00B23445">
        <w:rPr>
          <w:b/>
          <w:bCs/>
          <w:sz w:val="22"/>
          <w:szCs w:val="22"/>
        </w:rPr>
        <w:t>of</w:t>
      </w:r>
      <w:r w:rsidRPr="009A6550">
        <w:rPr>
          <w:b/>
          <w:bCs/>
          <w:sz w:val="22"/>
          <w:szCs w:val="22"/>
        </w:rPr>
        <w:t xml:space="preserve"> each </w:t>
      </w:r>
      <w:r w:rsidR="00B23445">
        <w:rPr>
          <w:b/>
          <w:bCs/>
          <w:sz w:val="22"/>
          <w:szCs w:val="22"/>
        </w:rPr>
        <w:t xml:space="preserve">TN neighbour </w:t>
      </w:r>
      <w:r w:rsidRPr="009A6550">
        <w:rPr>
          <w:b/>
          <w:bCs/>
          <w:sz w:val="22"/>
          <w:szCs w:val="22"/>
        </w:rPr>
        <w:t>cell</w:t>
      </w:r>
    </w:p>
    <w:p w14:paraId="35338021" w14:textId="77777777" w:rsidR="004572C4" w:rsidRPr="005F3CBC" w:rsidRDefault="004572C4" w:rsidP="004572C4">
      <w:pPr>
        <w:pStyle w:val="N1"/>
        <w:ind w:left="180"/>
        <w:jc w:val="center"/>
      </w:pPr>
    </w:p>
    <w:p w14:paraId="13C741CA" w14:textId="1CD8F86A" w:rsidR="004572C4" w:rsidRPr="009A6550" w:rsidRDefault="004572C4" w:rsidP="00163C29">
      <w:pPr>
        <w:rPr>
          <w:sz w:val="22"/>
          <w:szCs w:val="22"/>
        </w:rPr>
      </w:pPr>
      <w:r w:rsidRPr="00FD2475">
        <w:rPr>
          <w:b/>
          <w:bCs/>
          <w:sz w:val="22"/>
          <w:szCs w:val="22"/>
          <w:u w:val="single"/>
        </w:rPr>
        <w:t>Option 2:</w:t>
      </w:r>
      <w:r w:rsidRPr="009A6550">
        <w:rPr>
          <w:sz w:val="22"/>
          <w:szCs w:val="22"/>
        </w:rPr>
        <w:t xml:space="preserve"> a </w:t>
      </w:r>
      <w:bookmarkStart w:id="1" w:name="_Hlk106374508"/>
      <w:r w:rsidRPr="009A6550">
        <w:rPr>
          <w:sz w:val="22"/>
          <w:szCs w:val="22"/>
        </w:rPr>
        <w:t xml:space="preserve">boundary line </w:t>
      </w:r>
      <w:bookmarkEnd w:id="1"/>
      <w:r w:rsidRPr="009A6550">
        <w:rPr>
          <w:sz w:val="22"/>
          <w:szCs w:val="22"/>
        </w:rPr>
        <w:t>is provided by network in the format of a list of location</w:t>
      </w:r>
      <w:r>
        <w:rPr>
          <w:sz w:val="22"/>
          <w:szCs w:val="22"/>
        </w:rPr>
        <w:t xml:space="preserve"> coordinate</w:t>
      </w:r>
      <w:r w:rsidRPr="009A6550">
        <w:rPr>
          <w:sz w:val="22"/>
          <w:szCs w:val="22"/>
        </w:rPr>
        <w:t xml:space="preserve">s, additionally an indication can be used to indicate which side is the TN side (e.g., location coordinates of a TN point), as illustrated in Figure </w:t>
      </w:r>
      <w:r w:rsidR="00B23445">
        <w:rPr>
          <w:sz w:val="22"/>
          <w:szCs w:val="22"/>
        </w:rPr>
        <w:t>2</w:t>
      </w:r>
      <w:r w:rsidRPr="009A6550">
        <w:rPr>
          <w:sz w:val="22"/>
          <w:szCs w:val="22"/>
        </w:rPr>
        <w:t xml:space="preserve">. </w:t>
      </w:r>
      <w:r w:rsidR="00163C29">
        <w:rPr>
          <w:sz w:val="22"/>
          <w:szCs w:val="22"/>
        </w:rPr>
        <w:t xml:space="preserve">This is applicable when </w:t>
      </w:r>
      <w:r w:rsidR="00163C29" w:rsidRPr="001B3383">
        <w:rPr>
          <w:sz w:val="22"/>
          <w:szCs w:val="22"/>
        </w:rPr>
        <w:t>an NTN cell cover</w:t>
      </w:r>
      <w:r w:rsidR="00163C29">
        <w:rPr>
          <w:sz w:val="22"/>
          <w:szCs w:val="22"/>
        </w:rPr>
        <w:t>s</w:t>
      </w:r>
      <w:r w:rsidR="00163C29" w:rsidRPr="001B3383">
        <w:rPr>
          <w:sz w:val="22"/>
          <w:szCs w:val="22"/>
        </w:rPr>
        <w:t xml:space="preserve"> both parts of oceanic and terrestrial areas as illustrated in Figure </w:t>
      </w:r>
      <w:r w:rsidR="00B23445">
        <w:rPr>
          <w:sz w:val="22"/>
          <w:szCs w:val="22"/>
        </w:rPr>
        <w:t>3</w:t>
      </w:r>
      <w:r w:rsidR="00163C29" w:rsidRPr="001B3383">
        <w:rPr>
          <w:sz w:val="22"/>
          <w:szCs w:val="22"/>
        </w:rPr>
        <w:t>.</w:t>
      </w:r>
    </w:p>
    <w:p w14:paraId="5E33A704" w14:textId="77777777" w:rsidR="004572C4" w:rsidRPr="005F3CBC" w:rsidRDefault="004572C4" w:rsidP="004572C4">
      <w:pPr>
        <w:pStyle w:val="N1"/>
        <w:ind w:left="180"/>
        <w:jc w:val="center"/>
      </w:pPr>
    </w:p>
    <w:p w14:paraId="7E9B2CF9" w14:textId="77777777" w:rsidR="004572C4" w:rsidRPr="005F3CBC" w:rsidRDefault="004572C4" w:rsidP="004572C4">
      <w:pPr>
        <w:pStyle w:val="N1"/>
        <w:ind w:left="540"/>
        <w:jc w:val="center"/>
      </w:pPr>
      <w:r w:rsidRPr="005F3CBC">
        <w:object w:dxaOrig="6948" w:dyaOrig="6204" w14:anchorId="778B2849">
          <v:shape id="_x0000_i1026" type="#_x0000_t75" style="width:236.25pt;height:210pt" o:ole="">
            <v:imagedata r:id="rId13" o:title=""/>
          </v:shape>
          <o:OLEObject Type="Embed" ProgID="Visio.Drawing.15" ShapeID="_x0000_i1026" DrawAspect="Content" ObjectID="_1729021324" r:id="rId14"/>
        </w:object>
      </w:r>
    </w:p>
    <w:p w14:paraId="22195B92" w14:textId="14417EE3" w:rsidR="004572C4" w:rsidRDefault="004572C4" w:rsidP="004572C4">
      <w:pPr>
        <w:jc w:val="center"/>
        <w:rPr>
          <w:b/>
          <w:bCs/>
          <w:sz w:val="22"/>
          <w:szCs w:val="22"/>
        </w:rPr>
      </w:pPr>
      <w:r w:rsidRPr="009A6550">
        <w:rPr>
          <w:b/>
          <w:bCs/>
          <w:sz w:val="22"/>
          <w:szCs w:val="22"/>
        </w:rPr>
        <w:t xml:space="preserve">Figure </w:t>
      </w:r>
      <w:r w:rsidR="00B23445">
        <w:rPr>
          <w:b/>
          <w:bCs/>
          <w:sz w:val="22"/>
          <w:szCs w:val="22"/>
        </w:rPr>
        <w:t>2</w:t>
      </w:r>
      <w:r w:rsidRPr="009A6550">
        <w:rPr>
          <w:b/>
          <w:bCs/>
          <w:sz w:val="22"/>
          <w:szCs w:val="22"/>
        </w:rPr>
        <w:t>: boundary line between TN area and NTN only area</w:t>
      </w:r>
    </w:p>
    <w:p w14:paraId="2E37AAAF" w14:textId="77777777" w:rsidR="00163C29" w:rsidRPr="001B3383" w:rsidRDefault="00163C29" w:rsidP="00163C29">
      <w:pPr>
        <w:jc w:val="center"/>
        <w:rPr>
          <w:sz w:val="22"/>
          <w:szCs w:val="22"/>
        </w:rPr>
      </w:pPr>
      <w:r w:rsidRPr="005F3CBC">
        <w:rPr>
          <w:b/>
          <w:bCs/>
          <w:noProof/>
          <w:u w:val="single"/>
        </w:rPr>
        <w:drawing>
          <wp:inline distT="0" distB="0" distL="0" distR="0" wp14:anchorId="7D42F615" wp14:editId="0CE779DF">
            <wp:extent cx="3643952" cy="22530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412"/>
                    <a:stretch/>
                  </pic:blipFill>
                  <pic:spPr bwMode="auto">
                    <a:xfrm>
                      <a:off x="0" y="0"/>
                      <a:ext cx="3656741" cy="2260991"/>
                    </a:xfrm>
                    <a:prstGeom prst="rect">
                      <a:avLst/>
                    </a:prstGeom>
                    <a:ln>
                      <a:noFill/>
                    </a:ln>
                    <a:extLst>
                      <a:ext uri="{53640926-AAD7-44D8-BBD7-CCE9431645EC}">
                        <a14:shadowObscured xmlns:a14="http://schemas.microsoft.com/office/drawing/2010/main"/>
                      </a:ext>
                    </a:extLst>
                  </pic:spPr>
                </pic:pic>
              </a:graphicData>
            </a:graphic>
          </wp:inline>
        </w:drawing>
      </w:r>
    </w:p>
    <w:p w14:paraId="289BD4E4" w14:textId="1C1C24B6" w:rsidR="00163C29" w:rsidRPr="001B3383" w:rsidRDefault="00163C29" w:rsidP="00163C29">
      <w:pPr>
        <w:jc w:val="center"/>
        <w:rPr>
          <w:b/>
          <w:bCs/>
          <w:sz w:val="22"/>
          <w:szCs w:val="22"/>
        </w:rPr>
      </w:pPr>
      <w:r w:rsidRPr="001B3383">
        <w:rPr>
          <w:b/>
          <w:bCs/>
          <w:sz w:val="22"/>
          <w:szCs w:val="22"/>
        </w:rPr>
        <w:t xml:space="preserve">Figure </w:t>
      </w:r>
      <w:r w:rsidR="00381545">
        <w:rPr>
          <w:b/>
          <w:bCs/>
          <w:sz w:val="22"/>
          <w:szCs w:val="22"/>
        </w:rPr>
        <w:t>3</w:t>
      </w:r>
      <w:r w:rsidRPr="001B3383">
        <w:rPr>
          <w:b/>
          <w:bCs/>
          <w:sz w:val="22"/>
          <w:szCs w:val="22"/>
        </w:rPr>
        <w:t>: NTN cell cover</w:t>
      </w:r>
      <w:r w:rsidR="00B23445">
        <w:rPr>
          <w:b/>
          <w:bCs/>
          <w:sz w:val="22"/>
          <w:szCs w:val="22"/>
        </w:rPr>
        <w:t>ing both</w:t>
      </w:r>
      <w:r w:rsidRPr="001B3383">
        <w:rPr>
          <w:b/>
          <w:bCs/>
          <w:sz w:val="22"/>
          <w:szCs w:val="22"/>
        </w:rPr>
        <w:t xml:space="preserve"> </w:t>
      </w:r>
      <w:r w:rsidR="00B23445" w:rsidRPr="00B23445">
        <w:rPr>
          <w:b/>
          <w:bCs/>
          <w:sz w:val="22"/>
          <w:szCs w:val="22"/>
        </w:rPr>
        <w:t>oceanic and terrestrial areas</w:t>
      </w:r>
    </w:p>
    <w:p w14:paraId="59C3096D" w14:textId="77777777" w:rsidR="00B23445" w:rsidRDefault="00B23445" w:rsidP="00163C29">
      <w:pPr>
        <w:rPr>
          <w:sz w:val="22"/>
          <w:szCs w:val="22"/>
        </w:rPr>
      </w:pPr>
    </w:p>
    <w:p w14:paraId="65E709E4" w14:textId="1B6B0DC0" w:rsidR="00DF619C" w:rsidRPr="00163C29" w:rsidRDefault="00DF619C" w:rsidP="00163C29">
      <w:pPr>
        <w:rPr>
          <w:sz w:val="22"/>
          <w:szCs w:val="22"/>
        </w:rPr>
      </w:pPr>
      <w:r w:rsidRPr="00FD2475">
        <w:rPr>
          <w:b/>
          <w:bCs/>
          <w:sz w:val="22"/>
          <w:szCs w:val="22"/>
          <w:u w:val="single"/>
        </w:rPr>
        <w:t xml:space="preserve">Option </w:t>
      </w:r>
      <w:r w:rsidR="00B23445" w:rsidRPr="00FD2475">
        <w:rPr>
          <w:b/>
          <w:bCs/>
          <w:sz w:val="22"/>
          <w:szCs w:val="22"/>
          <w:u w:val="single"/>
        </w:rPr>
        <w:t>6</w:t>
      </w:r>
      <w:r w:rsidRPr="00FD2475">
        <w:rPr>
          <w:b/>
          <w:bCs/>
          <w:sz w:val="22"/>
          <w:szCs w:val="22"/>
          <w:u w:val="single"/>
        </w:rPr>
        <w:t>:</w:t>
      </w:r>
      <w:r w:rsidRPr="00163C29">
        <w:rPr>
          <w:sz w:val="22"/>
          <w:szCs w:val="22"/>
        </w:rPr>
        <w:t xml:space="preserve"> </w:t>
      </w:r>
      <w:r w:rsidR="00B23445">
        <w:rPr>
          <w:sz w:val="22"/>
          <w:szCs w:val="22"/>
        </w:rPr>
        <w:t>for each TN area, a</w:t>
      </w:r>
      <w:r w:rsidRPr="00163C29">
        <w:rPr>
          <w:sz w:val="22"/>
          <w:szCs w:val="22"/>
        </w:rPr>
        <w:t xml:space="preserve"> list of locations </w:t>
      </w:r>
      <w:r w:rsidR="00B23445">
        <w:rPr>
          <w:sz w:val="22"/>
          <w:szCs w:val="22"/>
        </w:rPr>
        <w:t>is</w:t>
      </w:r>
      <w:r w:rsidRPr="00163C29">
        <w:rPr>
          <w:sz w:val="22"/>
          <w:szCs w:val="22"/>
        </w:rPr>
        <w:t xml:space="preserve"> provided by network, and the corresponding close shape could be illustrated by a polygon connecting these points within </w:t>
      </w:r>
      <w:r w:rsidR="00B23445">
        <w:rPr>
          <w:sz w:val="22"/>
          <w:szCs w:val="22"/>
        </w:rPr>
        <w:t>the</w:t>
      </w:r>
      <w:r w:rsidRPr="00163C29">
        <w:rPr>
          <w:sz w:val="22"/>
          <w:szCs w:val="22"/>
        </w:rPr>
        <w:t xml:space="preserve"> list, as illustrated in Figure </w:t>
      </w:r>
      <w:r w:rsidR="00A50A0F">
        <w:rPr>
          <w:sz w:val="22"/>
          <w:szCs w:val="22"/>
        </w:rPr>
        <w:t>4</w:t>
      </w:r>
      <w:r w:rsidRPr="00163C29">
        <w:rPr>
          <w:sz w:val="22"/>
          <w:szCs w:val="22"/>
        </w:rPr>
        <w:t>. There could be an explicit indication for the boundary TN neighbor cells in each TN area (e.g., a list of boundary TN neighbor cells), which can be considered as the target neighbor cells for UEs in NTN-only area for cell reselection. Due to the reduction of the number of</w:t>
      </w:r>
      <w:r w:rsidR="00B23445">
        <w:rPr>
          <w:sz w:val="22"/>
          <w:szCs w:val="22"/>
        </w:rPr>
        <w:t xml:space="preserve"> broadcast</w:t>
      </w:r>
      <w:r w:rsidRPr="00163C29">
        <w:rPr>
          <w:sz w:val="22"/>
          <w:szCs w:val="22"/>
        </w:rPr>
        <w:t xml:space="preserve"> </w:t>
      </w:r>
      <w:r w:rsidR="00122C80">
        <w:rPr>
          <w:sz w:val="22"/>
          <w:szCs w:val="22"/>
        </w:rPr>
        <w:t xml:space="preserve">TN </w:t>
      </w:r>
      <w:r w:rsidRPr="00163C29">
        <w:rPr>
          <w:sz w:val="22"/>
          <w:szCs w:val="22"/>
        </w:rPr>
        <w:t>neighbor cells,</w:t>
      </w:r>
      <w:r w:rsidR="00163C29">
        <w:rPr>
          <w:sz w:val="22"/>
          <w:szCs w:val="22"/>
        </w:rPr>
        <w:t xml:space="preserve"> as this is per TN area but not per neighbour cell,</w:t>
      </w:r>
      <w:r w:rsidRPr="00163C29">
        <w:rPr>
          <w:sz w:val="22"/>
          <w:szCs w:val="22"/>
        </w:rPr>
        <w:t xml:space="preserve"> the benefit is </w:t>
      </w:r>
      <w:r w:rsidR="00163C29">
        <w:rPr>
          <w:sz w:val="22"/>
          <w:szCs w:val="22"/>
        </w:rPr>
        <w:t xml:space="preserve">less signalling overhead compared to the per </w:t>
      </w:r>
      <w:r w:rsidR="00122C80">
        <w:rPr>
          <w:sz w:val="22"/>
          <w:szCs w:val="22"/>
        </w:rPr>
        <w:t xml:space="preserve">TN </w:t>
      </w:r>
      <w:r w:rsidR="00163C29">
        <w:rPr>
          <w:sz w:val="22"/>
          <w:szCs w:val="22"/>
        </w:rPr>
        <w:t>cell assistance information</w:t>
      </w:r>
      <w:r w:rsidRPr="00163C29">
        <w:rPr>
          <w:sz w:val="22"/>
          <w:szCs w:val="22"/>
        </w:rPr>
        <w:t xml:space="preserve">. </w:t>
      </w:r>
    </w:p>
    <w:p w14:paraId="6B735B7F" w14:textId="77777777" w:rsidR="00DF619C" w:rsidRPr="005F3CBC" w:rsidRDefault="00DF619C" w:rsidP="00DF619C">
      <w:pPr>
        <w:pStyle w:val="N1"/>
        <w:ind w:left="1354"/>
        <w:rPr>
          <w:rFonts w:eastAsia="Times New Roman"/>
        </w:rPr>
      </w:pPr>
    </w:p>
    <w:p w14:paraId="438A1803" w14:textId="77777777" w:rsidR="00DF619C" w:rsidRPr="005F3CBC" w:rsidRDefault="00DF619C" w:rsidP="00DF619C">
      <w:pPr>
        <w:pStyle w:val="N1"/>
        <w:ind w:left="1354"/>
        <w:rPr>
          <w:rFonts w:eastAsia="Times New Roman"/>
        </w:rPr>
      </w:pPr>
    </w:p>
    <w:p w14:paraId="23C8151E" w14:textId="77777777" w:rsidR="00DF619C" w:rsidRPr="005F3CBC" w:rsidRDefault="00DF619C" w:rsidP="00DF619C">
      <w:pPr>
        <w:pStyle w:val="N1"/>
        <w:jc w:val="center"/>
      </w:pPr>
      <w:r w:rsidRPr="005F3CBC">
        <w:object w:dxaOrig="5808" w:dyaOrig="5809" w14:anchorId="7767D86F">
          <v:shape id="_x0000_i1027" type="#_x0000_t75" style="width:198pt;height:198.75pt" o:ole="">
            <v:imagedata r:id="rId16" o:title=""/>
          </v:shape>
          <o:OLEObject Type="Embed" ProgID="Visio.Drawing.15" ShapeID="_x0000_i1027" DrawAspect="Content" ObjectID="_1729021325" r:id="rId17"/>
        </w:object>
      </w:r>
    </w:p>
    <w:p w14:paraId="4DDED433" w14:textId="77777777" w:rsidR="00DF619C" w:rsidRPr="005F3CBC" w:rsidRDefault="00DF619C" w:rsidP="00DF619C">
      <w:pPr>
        <w:pStyle w:val="N1"/>
        <w:ind w:left="180"/>
        <w:jc w:val="center"/>
      </w:pPr>
    </w:p>
    <w:p w14:paraId="787F7A1F" w14:textId="38DACBC8" w:rsidR="00DF619C" w:rsidRPr="00B23445" w:rsidRDefault="00DF619C" w:rsidP="00B23445">
      <w:pPr>
        <w:jc w:val="center"/>
        <w:rPr>
          <w:b/>
          <w:bCs/>
          <w:sz w:val="22"/>
          <w:szCs w:val="22"/>
        </w:rPr>
      </w:pPr>
      <w:r w:rsidRPr="00B23445">
        <w:rPr>
          <w:b/>
          <w:bCs/>
          <w:sz w:val="22"/>
          <w:szCs w:val="22"/>
        </w:rPr>
        <w:t xml:space="preserve">Figure </w:t>
      </w:r>
      <w:r w:rsidR="00A50A0F">
        <w:rPr>
          <w:b/>
          <w:bCs/>
          <w:sz w:val="22"/>
          <w:szCs w:val="22"/>
        </w:rPr>
        <w:t>4</w:t>
      </w:r>
      <w:r w:rsidRPr="00B23445">
        <w:rPr>
          <w:b/>
          <w:bCs/>
          <w:sz w:val="22"/>
          <w:szCs w:val="22"/>
        </w:rPr>
        <w:t xml:space="preserve">: TN area for a group of </w:t>
      </w:r>
      <w:r w:rsidR="00B23445" w:rsidRPr="00B23445">
        <w:rPr>
          <w:b/>
          <w:bCs/>
          <w:sz w:val="22"/>
          <w:szCs w:val="22"/>
        </w:rPr>
        <w:t xml:space="preserve">TN neighbour </w:t>
      </w:r>
      <w:r w:rsidRPr="00B23445">
        <w:rPr>
          <w:b/>
          <w:bCs/>
          <w:sz w:val="22"/>
          <w:szCs w:val="22"/>
        </w:rPr>
        <w:t>cells</w:t>
      </w:r>
    </w:p>
    <w:p w14:paraId="4AD563F0" w14:textId="080E5638" w:rsidR="00DF619C" w:rsidRPr="00B23445" w:rsidRDefault="00B23445" w:rsidP="004572C4">
      <w:pPr>
        <w:rPr>
          <w:b/>
          <w:bCs/>
          <w:sz w:val="22"/>
          <w:szCs w:val="22"/>
        </w:rPr>
      </w:pPr>
      <w:r w:rsidRPr="00B23445">
        <w:rPr>
          <w:b/>
          <w:bCs/>
          <w:sz w:val="22"/>
          <w:szCs w:val="22"/>
        </w:rPr>
        <w:t>Proposal 1: RAN2 adopts</w:t>
      </w:r>
      <w:r w:rsidRPr="00B23445">
        <w:rPr>
          <w:b/>
          <w:bCs/>
        </w:rPr>
        <w:t xml:space="preserve"> </w:t>
      </w:r>
      <w:r w:rsidRPr="00B23445">
        <w:rPr>
          <w:b/>
          <w:bCs/>
          <w:sz w:val="22"/>
          <w:szCs w:val="22"/>
        </w:rPr>
        <w:t>explicit description of geographical TN area, and focuses on the following options for further discussion:</w:t>
      </w:r>
    </w:p>
    <w:p w14:paraId="290E5DC3" w14:textId="695DA15E" w:rsidR="00B23445" w:rsidRPr="00F27D77" w:rsidRDefault="00B23445" w:rsidP="00F97120">
      <w:pPr>
        <w:pStyle w:val="ListParagraph"/>
        <w:numPr>
          <w:ilvl w:val="0"/>
          <w:numId w:val="31"/>
        </w:numPr>
        <w:rPr>
          <w:b/>
          <w:bCs/>
          <w:sz w:val="22"/>
          <w:szCs w:val="22"/>
        </w:rPr>
      </w:pPr>
      <w:r w:rsidRPr="00F27D77">
        <w:rPr>
          <w:b/>
          <w:bCs/>
          <w:sz w:val="22"/>
          <w:szCs w:val="22"/>
        </w:rPr>
        <w:t>Option 1: for each TN neighbour cell, the corresponding geographical area information is provided by network with location coordinates of cell center and cell radius.</w:t>
      </w:r>
    </w:p>
    <w:p w14:paraId="5767330B" w14:textId="57F94C6D" w:rsidR="004572C4" w:rsidRPr="00F27D77" w:rsidRDefault="00B23445" w:rsidP="00F97120">
      <w:pPr>
        <w:pStyle w:val="ListParagraph"/>
        <w:numPr>
          <w:ilvl w:val="0"/>
          <w:numId w:val="31"/>
        </w:numPr>
        <w:rPr>
          <w:b/>
          <w:bCs/>
          <w:sz w:val="22"/>
          <w:szCs w:val="22"/>
        </w:rPr>
      </w:pPr>
      <w:r w:rsidRPr="00F27D77">
        <w:rPr>
          <w:b/>
          <w:bCs/>
          <w:sz w:val="22"/>
          <w:szCs w:val="22"/>
        </w:rPr>
        <w:t>Option 2: a boundary line is provided by network in the format of a list of location coordinates, additionally an indication can be used to indicate which side is the TN side</w:t>
      </w:r>
    </w:p>
    <w:p w14:paraId="11F5D3FB" w14:textId="58125CDB" w:rsidR="00B23445" w:rsidRPr="00F27D77" w:rsidRDefault="00B23445" w:rsidP="00F97120">
      <w:pPr>
        <w:pStyle w:val="ListParagraph"/>
        <w:numPr>
          <w:ilvl w:val="0"/>
          <w:numId w:val="31"/>
        </w:numPr>
        <w:rPr>
          <w:b/>
          <w:bCs/>
          <w:sz w:val="22"/>
          <w:szCs w:val="22"/>
        </w:rPr>
      </w:pPr>
      <w:r w:rsidRPr="00F27D77">
        <w:rPr>
          <w:b/>
          <w:bCs/>
          <w:sz w:val="22"/>
          <w:szCs w:val="22"/>
        </w:rPr>
        <w:t>Option 6: for each TN area, a list of locations is provided by network, and the corresponding close shape could be illustrated by a polygon connecting these points within the list.</w:t>
      </w:r>
    </w:p>
    <w:p w14:paraId="23A8CAB2" w14:textId="77D84259" w:rsidR="009F6669" w:rsidRDefault="009F6669" w:rsidP="00826C92">
      <w:pPr>
        <w:pStyle w:val="Heading1"/>
      </w:pPr>
      <w:r>
        <w:t>Conclusion</w:t>
      </w:r>
    </w:p>
    <w:p w14:paraId="00A4F195" w14:textId="5DF00D8D"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B23445">
        <w:rPr>
          <w:sz w:val="22"/>
          <w:szCs w:val="22"/>
          <w:lang w:val="en-US"/>
        </w:rPr>
        <w:t>TN-</w:t>
      </w:r>
      <w:r w:rsidR="001401D2">
        <w:rPr>
          <w:sz w:val="22"/>
          <w:szCs w:val="22"/>
          <w:lang w:val="en-US"/>
        </w:rPr>
        <w:t xml:space="preserve">NTN </w:t>
      </w:r>
      <w:r w:rsidR="00B23445">
        <w:rPr>
          <w:sz w:val="22"/>
          <w:szCs w:val="22"/>
          <w:lang w:val="en-US"/>
        </w:rPr>
        <w:t>cell reselection</w:t>
      </w:r>
      <w:r w:rsidR="001401D2">
        <w:rPr>
          <w:sz w:val="22"/>
          <w:szCs w:val="22"/>
          <w:lang w:val="en-US"/>
        </w:rPr>
        <w:t xml:space="preserve"> enhancements</w:t>
      </w:r>
      <w:r w:rsidRPr="0025105E">
        <w:rPr>
          <w:sz w:val="22"/>
          <w:szCs w:val="22"/>
          <w:lang w:val="en-US"/>
        </w:rPr>
        <w:t xml:space="preserve">, and we have the following </w:t>
      </w:r>
      <w:r w:rsidR="001401D2">
        <w:rPr>
          <w:sz w:val="22"/>
          <w:szCs w:val="22"/>
          <w:lang w:val="en-US"/>
        </w:rPr>
        <w:t>observation</w:t>
      </w:r>
      <w:r w:rsidRPr="0025105E">
        <w:rPr>
          <w:sz w:val="22"/>
          <w:szCs w:val="22"/>
          <w:lang w:val="en-US"/>
        </w:rPr>
        <w:t>:</w:t>
      </w:r>
    </w:p>
    <w:p w14:paraId="36710AE4" w14:textId="77777777" w:rsidR="00B22747" w:rsidRPr="00B23445" w:rsidRDefault="00B22747" w:rsidP="00B22747">
      <w:pPr>
        <w:rPr>
          <w:b/>
          <w:bCs/>
          <w:sz w:val="22"/>
          <w:szCs w:val="22"/>
        </w:rPr>
      </w:pPr>
      <w:r w:rsidRPr="00B23445">
        <w:rPr>
          <w:b/>
          <w:bCs/>
          <w:sz w:val="22"/>
          <w:szCs w:val="22"/>
        </w:rPr>
        <w:t xml:space="preserve">Observation 1: The explicit description of geographical TN area </w:t>
      </w:r>
      <w:r>
        <w:rPr>
          <w:b/>
          <w:bCs/>
          <w:sz w:val="22"/>
          <w:szCs w:val="22"/>
        </w:rPr>
        <w:t>seems</w:t>
      </w:r>
      <w:r w:rsidRPr="00B23445">
        <w:rPr>
          <w:b/>
          <w:bCs/>
          <w:sz w:val="22"/>
          <w:szCs w:val="22"/>
        </w:rPr>
        <w:t xml:space="preserve"> more straightforward and with less spec impact.</w:t>
      </w:r>
    </w:p>
    <w:p w14:paraId="5E239C9F" w14:textId="2A7B321D" w:rsidR="00D76038" w:rsidRPr="00D76038" w:rsidRDefault="00D76038" w:rsidP="00932F0E">
      <w:pPr>
        <w:rPr>
          <w:sz w:val="22"/>
          <w:szCs w:val="22"/>
        </w:rPr>
      </w:pPr>
      <w:r w:rsidRPr="00D76038">
        <w:rPr>
          <w:sz w:val="22"/>
          <w:szCs w:val="22"/>
        </w:rPr>
        <w:t>And we propose:</w:t>
      </w:r>
    </w:p>
    <w:p w14:paraId="6A39D142" w14:textId="77777777" w:rsidR="00B23445" w:rsidRPr="00B23445" w:rsidRDefault="00B23445" w:rsidP="00B23445">
      <w:pPr>
        <w:rPr>
          <w:b/>
          <w:bCs/>
          <w:sz w:val="22"/>
          <w:szCs w:val="22"/>
        </w:rPr>
      </w:pPr>
      <w:r w:rsidRPr="00B23445">
        <w:rPr>
          <w:b/>
          <w:bCs/>
          <w:sz w:val="22"/>
          <w:szCs w:val="22"/>
        </w:rPr>
        <w:t>Proposal 1: RAN2 adopts</w:t>
      </w:r>
      <w:r w:rsidRPr="00B23445">
        <w:rPr>
          <w:b/>
          <w:bCs/>
        </w:rPr>
        <w:t xml:space="preserve"> </w:t>
      </w:r>
      <w:r w:rsidRPr="00B23445">
        <w:rPr>
          <w:b/>
          <w:bCs/>
          <w:sz w:val="22"/>
          <w:szCs w:val="22"/>
        </w:rPr>
        <w:t>explicit description of geographical TN area, and focuses on the following options for further discussion:</w:t>
      </w:r>
    </w:p>
    <w:p w14:paraId="471DB8FA" w14:textId="77777777" w:rsidR="00B23445" w:rsidRPr="00B23445" w:rsidRDefault="00B23445" w:rsidP="00B23445">
      <w:pPr>
        <w:rPr>
          <w:b/>
          <w:bCs/>
          <w:sz w:val="22"/>
          <w:szCs w:val="22"/>
        </w:rPr>
      </w:pPr>
      <w:r w:rsidRPr="00B23445">
        <w:rPr>
          <w:b/>
          <w:bCs/>
          <w:sz w:val="22"/>
          <w:szCs w:val="22"/>
        </w:rPr>
        <w:t>Option 1: for each TN neighbour cell, the corresponding geographical area information is provided by network with location coordinates of cell center and cell radius.</w:t>
      </w:r>
    </w:p>
    <w:p w14:paraId="5A4E2D27" w14:textId="77777777" w:rsidR="00B23445" w:rsidRPr="00B23445" w:rsidRDefault="00B23445" w:rsidP="00B23445">
      <w:pPr>
        <w:rPr>
          <w:b/>
          <w:bCs/>
          <w:sz w:val="22"/>
          <w:szCs w:val="22"/>
        </w:rPr>
      </w:pPr>
      <w:r w:rsidRPr="00B23445">
        <w:rPr>
          <w:b/>
          <w:bCs/>
          <w:sz w:val="22"/>
          <w:szCs w:val="22"/>
        </w:rPr>
        <w:t>Option 2: a boundary line is provided by network in the format of a list of location coordinates, additionally an indication can be used to indicate which side is the TN side</w:t>
      </w:r>
    </w:p>
    <w:p w14:paraId="04272550" w14:textId="77777777" w:rsidR="00B23445" w:rsidRPr="00B23445" w:rsidRDefault="00B23445" w:rsidP="00B23445">
      <w:pPr>
        <w:rPr>
          <w:b/>
          <w:bCs/>
          <w:sz w:val="22"/>
          <w:szCs w:val="22"/>
        </w:rPr>
      </w:pPr>
      <w:r w:rsidRPr="00B23445">
        <w:rPr>
          <w:b/>
          <w:bCs/>
          <w:sz w:val="22"/>
          <w:szCs w:val="22"/>
        </w:rPr>
        <w:t xml:space="preserve">Option 6: for each TN area, a list of locations </w:t>
      </w:r>
      <w:r>
        <w:rPr>
          <w:b/>
          <w:bCs/>
          <w:sz w:val="22"/>
          <w:szCs w:val="22"/>
        </w:rPr>
        <w:t>is</w:t>
      </w:r>
      <w:r w:rsidRPr="00B23445">
        <w:rPr>
          <w:b/>
          <w:bCs/>
          <w:sz w:val="22"/>
          <w:szCs w:val="22"/>
        </w:rPr>
        <w:t xml:space="preserve"> provided by network, and the corresponding close shape could be illustrated by a polygon connecting these points within the list.</w:t>
      </w:r>
    </w:p>
    <w:p w14:paraId="533E3FE7" w14:textId="77777777" w:rsidR="00D76038" w:rsidRDefault="00D76038" w:rsidP="00932F0E">
      <w:pPr>
        <w:rPr>
          <w:b/>
          <w:bCs/>
          <w:sz w:val="22"/>
          <w:szCs w:val="22"/>
        </w:rPr>
      </w:pPr>
    </w:p>
    <w:p w14:paraId="70D75F2F" w14:textId="08C7F7A2" w:rsidR="00344C56" w:rsidRDefault="00344C56" w:rsidP="00826C92">
      <w:pPr>
        <w:pStyle w:val="Heading1"/>
      </w:pPr>
      <w:r>
        <w:lastRenderedPageBreak/>
        <w:t>Reference</w:t>
      </w:r>
      <w:r w:rsidR="00F70374">
        <w:t>s</w:t>
      </w:r>
    </w:p>
    <w:p w14:paraId="7692724E" w14:textId="21065F67"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w:t>
      </w:r>
      <w:r w:rsidR="00DF6440">
        <w:rPr>
          <w:sz w:val="22"/>
          <w:szCs w:val="22"/>
        </w:rPr>
        <w:t>81</w:t>
      </w:r>
      <w:r w:rsidR="004D2705">
        <w:rPr>
          <w:sz w:val="22"/>
          <w:szCs w:val="22"/>
        </w:rPr>
        <w:t>9</w:t>
      </w:r>
      <w:r w:rsidR="00F764EE" w:rsidRPr="00F764EE">
        <w:rPr>
          <w:sz w:val="22"/>
          <w:szCs w:val="22"/>
        </w:rPr>
        <w:tab/>
      </w:r>
      <w:r w:rsidR="00F764EE">
        <w:rPr>
          <w:sz w:val="22"/>
          <w:szCs w:val="22"/>
        </w:rPr>
        <w:tab/>
      </w:r>
      <w:r w:rsidR="00DF6440" w:rsidRPr="00DF6440">
        <w:rPr>
          <w:sz w:val="22"/>
          <w:szCs w:val="22"/>
        </w:rPr>
        <w:t>Revised WID: NR NTN (Non-Terrestrial Networks) enhancements</w:t>
      </w:r>
      <w:r w:rsidR="004D2705">
        <w:rPr>
          <w:sz w:val="22"/>
          <w:szCs w:val="22"/>
        </w:rPr>
        <w:tab/>
      </w:r>
      <w:r w:rsidR="00DF6440" w:rsidRPr="00DF6440">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8342A" w14:textId="77777777" w:rsidR="00CB62A7" w:rsidRDefault="00CB62A7" w:rsidP="00DD7929">
      <w:pPr>
        <w:spacing w:after="0"/>
      </w:pPr>
      <w:r>
        <w:separator/>
      </w:r>
    </w:p>
  </w:endnote>
  <w:endnote w:type="continuationSeparator" w:id="0">
    <w:p w14:paraId="77F10E99" w14:textId="77777777" w:rsidR="00CB62A7" w:rsidRDefault="00CB62A7" w:rsidP="00DD7929">
      <w:pPr>
        <w:spacing w:after="0"/>
      </w:pPr>
      <w:r>
        <w:continuationSeparator/>
      </w:r>
    </w:p>
  </w:endnote>
  <w:endnote w:type="continuationNotice" w:id="1">
    <w:p w14:paraId="60C6C42C" w14:textId="77777777" w:rsidR="00CB62A7" w:rsidRDefault="00CB6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F9401" w14:textId="77777777" w:rsidR="00CB62A7" w:rsidRDefault="00CB62A7" w:rsidP="00DD7929">
      <w:pPr>
        <w:spacing w:after="0"/>
      </w:pPr>
      <w:r>
        <w:separator/>
      </w:r>
    </w:p>
  </w:footnote>
  <w:footnote w:type="continuationSeparator" w:id="0">
    <w:p w14:paraId="3340522C" w14:textId="77777777" w:rsidR="00CB62A7" w:rsidRDefault="00CB62A7" w:rsidP="00DD7929">
      <w:pPr>
        <w:spacing w:after="0"/>
      </w:pPr>
      <w:r>
        <w:continuationSeparator/>
      </w:r>
    </w:p>
  </w:footnote>
  <w:footnote w:type="continuationNotice" w:id="1">
    <w:p w14:paraId="3A945044" w14:textId="77777777" w:rsidR="00CB62A7" w:rsidRDefault="00CB6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B2788"/>
    <w:multiLevelType w:val="hybridMultilevel"/>
    <w:tmpl w:val="98F20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6D4D90"/>
    <w:multiLevelType w:val="hybridMultilevel"/>
    <w:tmpl w:val="A9281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FC91E22"/>
    <w:multiLevelType w:val="hybridMultilevel"/>
    <w:tmpl w:val="5E263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5"/>
  </w:num>
  <w:num w:numId="3">
    <w:abstractNumId w:val="4"/>
  </w:num>
  <w:num w:numId="4">
    <w:abstractNumId w:val="11"/>
  </w:num>
  <w:num w:numId="5">
    <w:abstractNumId w:val="8"/>
  </w:num>
  <w:num w:numId="6">
    <w:abstractNumId w:val="26"/>
  </w:num>
  <w:num w:numId="7">
    <w:abstractNumId w:val="20"/>
  </w:num>
  <w:num w:numId="8">
    <w:abstractNumId w:val="2"/>
  </w:num>
  <w:num w:numId="9">
    <w:abstractNumId w:val="19"/>
  </w:num>
  <w:num w:numId="10">
    <w:abstractNumId w:val="9"/>
  </w:num>
  <w:num w:numId="11">
    <w:abstractNumId w:val="7"/>
  </w:num>
  <w:num w:numId="12">
    <w:abstractNumId w:val="3"/>
  </w:num>
  <w:num w:numId="13">
    <w:abstractNumId w:val="28"/>
  </w:num>
  <w:num w:numId="14">
    <w:abstractNumId w:val="15"/>
  </w:num>
  <w:num w:numId="15">
    <w:abstractNumId w:val="21"/>
  </w:num>
  <w:num w:numId="16">
    <w:abstractNumId w:val="12"/>
  </w:num>
  <w:num w:numId="17">
    <w:abstractNumId w:val="27"/>
  </w:num>
  <w:num w:numId="18">
    <w:abstractNumId w:val="6"/>
  </w:num>
  <w:num w:numId="19">
    <w:abstractNumId w:val="1"/>
  </w:num>
  <w:num w:numId="20">
    <w:abstractNumId w:val="13"/>
  </w:num>
  <w:num w:numId="21">
    <w:abstractNumId w:val="24"/>
  </w:num>
  <w:num w:numId="22">
    <w:abstractNumId w:val="18"/>
  </w:num>
  <w:num w:numId="23">
    <w:abstractNumId w:val="5"/>
  </w:num>
  <w:num w:numId="24">
    <w:abstractNumId w:val="23"/>
  </w:num>
  <w:num w:numId="25">
    <w:abstractNumId w:val="17"/>
  </w:num>
  <w:num w:numId="26">
    <w:abstractNumId w:val="10"/>
  </w:num>
  <w:num w:numId="27">
    <w:abstractNumId w:val="29"/>
  </w:num>
  <w:num w:numId="28">
    <w:abstractNumId w:val="0"/>
  </w:num>
  <w:num w:numId="29">
    <w:abstractNumId w:val="30"/>
  </w:num>
  <w:num w:numId="30">
    <w:abstractNumId w:val="22"/>
  </w:num>
  <w:num w:numId="3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6FBC"/>
    <w:rsid w:val="00007AD5"/>
    <w:rsid w:val="00010FA4"/>
    <w:rsid w:val="000121BE"/>
    <w:rsid w:val="00013C53"/>
    <w:rsid w:val="0001413C"/>
    <w:rsid w:val="000168FA"/>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3B"/>
    <w:rsid w:val="00046488"/>
    <w:rsid w:val="000479B8"/>
    <w:rsid w:val="0005139D"/>
    <w:rsid w:val="00052353"/>
    <w:rsid w:val="00053CAF"/>
    <w:rsid w:val="000550D1"/>
    <w:rsid w:val="00057C99"/>
    <w:rsid w:val="00057FF2"/>
    <w:rsid w:val="00060FE5"/>
    <w:rsid w:val="00061387"/>
    <w:rsid w:val="00061EED"/>
    <w:rsid w:val="00063441"/>
    <w:rsid w:val="00064483"/>
    <w:rsid w:val="000674F2"/>
    <w:rsid w:val="000711DC"/>
    <w:rsid w:val="00074D6F"/>
    <w:rsid w:val="00074E30"/>
    <w:rsid w:val="00075228"/>
    <w:rsid w:val="00076825"/>
    <w:rsid w:val="0008020D"/>
    <w:rsid w:val="00080AA4"/>
    <w:rsid w:val="00082009"/>
    <w:rsid w:val="00082023"/>
    <w:rsid w:val="00082C66"/>
    <w:rsid w:val="00083979"/>
    <w:rsid w:val="000847A0"/>
    <w:rsid w:val="00085805"/>
    <w:rsid w:val="00085CBE"/>
    <w:rsid w:val="00087732"/>
    <w:rsid w:val="0009141B"/>
    <w:rsid w:val="00091D9D"/>
    <w:rsid w:val="00092401"/>
    <w:rsid w:val="00094334"/>
    <w:rsid w:val="000A108E"/>
    <w:rsid w:val="000A179B"/>
    <w:rsid w:val="000A5916"/>
    <w:rsid w:val="000A72EB"/>
    <w:rsid w:val="000B0353"/>
    <w:rsid w:val="000B183F"/>
    <w:rsid w:val="000B62A2"/>
    <w:rsid w:val="000B6521"/>
    <w:rsid w:val="000B652C"/>
    <w:rsid w:val="000B6A15"/>
    <w:rsid w:val="000B70F8"/>
    <w:rsid w:val="000B7214"/>
    <w:rsid w:val="000C09C6"/>
    <w:rsid w:val="000C18B4"/>
    <w:rsid w:val="000C2577"/>
    <w:rsid w:val="000C31DB"/>
    <w:rsid w:val="000C31E0"/>
    <w:rsid w:val="000C49B8"/>
    <w:rsid w:val="000C631B"/>
    <w:rsid w:val="000C728E"/>
    <w:rsid w:val="000D0EE1"/>
    <w:rsid w:val="000D1350"/>
    <w:rsid w:val="000D3BD6"/>
    <w:rsid w:val="000D412F"/>
    <w:rsid w:val="000D5A70"/>
    <w:rsid w:val="000D6F27"/>
    <w:rsid w:val="000D75A3"/>
    <w:rsid w:val="000E07EE"/>
    <w:rsid w:val="000E1282"/>
    <w:rsid w:val="000E139A"/>
    <w:rsid w:val="000E1C07"/>
    <w:rsid w:val="000E205D"/>
    <w:rsid w:val="000E2C6D"/>
    <w:rsid w:val="000E66B7"/>
    <w:rsid w:val="000E760F"/>
    <w:rsid w:val="000F1CE8"/>
    <w:rsid w:val="000F2B41"/>
    <w:rsid w:val="000F3CEF"/>
    <w:rsid w:val="000F4BA0"/>
    <w:rsid w:val="000F4E33"/>
    <w:rsid w:val="000F6981"/>
    <w:rsid w:val="000F6F50"/>
    <w:rsid w:val="001002A7"/>
    <w:rsid w:val="001013D3"/>
    <w:rsid w:val="0010160E"/>
    <w:rsid w:val="001017B8"/>
    <w:rsid w:val="00101A72"/>
    <w:rsid w:val="00101C2B"/>
    <w:rsid w:val="0010260D"/>
    <w:rsid w:val="00102F76"/>
    <w:rsid w:val="001030D8"/>
    <w:rsid w:val="00103307"/>
    <w:rsid w:val="00103B58"/>
    <w:rsid w:val="00104CFA"/>
    <w:rsid w:val="00104FE8"/>
    <w:rsid w:val="00106ABA"/>
    <w:rsid w:val="001110DC"/>
    <w:rsid w:val="001120DB"/>
    <w:rsid w:val="00113930"/>
    <w:rsid w:val="00113BFE"/>
    <w:rsid w:val="001156FB"/>
    <w:rsid w:val="00115CCC"/>
    <w:rsid w:val="00115DAA"/>
    <w:rsid w:val="00120A8B"/>
    <w:rsid w:val="00121046"/>
    <w:rsid w:val="00122C80"/>
    <w:rsid w:val="00124335"/>
    <w:rsid w:val="00125BD7"/>
    <w:rsid w:val="00132DD9"/>
    <w:rsid w:val="00133A31"/>
    <w:rsid w:val="00134120"/>
    <w:rsid w:val="00134957"/>
    <w:rsid w:val="00135F16"/>
    <w:rsid w:val="00137952"/>
    <w:rsid w:val="001401D2"/>
    <w:rsid w:val="001401DE"/>
    <w:rsid w:val="0014119B"/>
    <w:rsid w:val="00142BB2"/>
    <w:rsid w:val="0014360E"/>
    <w:rsid w:val="00143A18"/>
    <w:rsid w:val="00144AB5"/>
    <w:rsid w:val="00147E68"/>
    <w:rsid w:val="0015004C"/>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3958"/>
    <w:rsid w:val="00163C29"/>
    <w:rsid w:val="0016592A"/>
    <w:rsid w:val="00165EDA"/>
    <w:rsid w:val="001660D1"/>
    <w:rsid w:val="00167FC9"/>
    <w:rsid w:val="00170383"/>
    <w:rsid w:val="001719C1"/>
    <w:rsid w:val="0017222C"/>
    <w:rsid w:val="00173C43"/>
    <w:rsid w:val="001743C4"/>
    <w:rsid w:val="00174A35"/>
    <w:rsid w:val="00174C46"/>
    <w:rsid w:val="001753FE"/>
    <w:rsid w:val="001771B5"/>
    <w:rsid w:val="001772FB"/>
    <w:rsid w:val="00183CB0"/>
    <w:rsid w:val="00185008"/>
    <w:rsid w:val="001852C6"/>
    <w:rsid w:val="00185D7F"/>
    <w:rsid w:val="00190069"/>
    <w:rsid w:val="001909A8"/>
    <w:rsid w:val="00191BF3"/>
    <w:rsid w:val="00192188"/>
    <w:rsid w:val="00194E82"/>
    <w:rsid w:val="001966B4"/>
    <w:rsid w:val="0019688D"/>
    <w:rsid w:val="0019776A"/>
    <w:rsid w:val="00197B66"/>
    <w:rsid w:val="001A163D"/>
    <w:rsid w:val="001A2090"/>
    <w:rsid w:val="001A3DAA"/>
    <w:rsid w:val="001A47E4"/>
    <w:rsid w:val="001A4BCF"/>
    <w:rsid w:val="001A5EA2"/>
    <w:rsid w:val="001A6D16"/>
    <w:rsid w:val="001A7EE7"/>
    <w:rsid w:val="001B1369"/>
    <w:rsid w:val="001B1456"/>
    <w:rsid w:val="001B1528"/>
    <w:rsid w:val="001B158D"/>
    <w:rsid w:val="001B2A13"/>
    <w:rsid w:val="001B3110"/>
    <w:rsid w:val="001B3EB5"/>
    <w:rsid w:val="001B438E"/>
    <w:rsid w:val="001B73D1"/>
    <w:rsid w:val="001C0B95"/>
    <w:rsid w:val="001C1FA9"/>
    <w:rsid w:val="001C371E"/>
    <w:rsid w:val="001C3E69"/>
    <w:rsid w:val="001C3EA4"/>
    <w:rsid w:val="001C409F"/>
    <w:rsid w:val="001C616E"/>
    <w:rsid w:val="001C676A"/>
    <w:rsid w:val="001D0302"/>
    <w:rsid w:val="001D0410"/>
    <w:rsid w:val="001D0BBF"/>
    <w:rsid w:val="001D1EC6"/>
    <w:rsid w:val="001D4710"/>
    <w:rsid w:val="001D49B3"/>
    <w:rsid w:val="001D56AE"/>
    <w:rsid w:val="001D5AC8"/>
    <w:rsid w:val="001D5E89"/>
    <w:rsid w:val="001E0108"/>
    <w:rsid w:val="001E2673"/>
    <w:rsid w:val="001E38EE"/>
    <w:rsid w:val="001E4477"/>
    <w:rsid w:val="001E4DFD"/>
    <w:rsid w:val="001E4E20"/>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6368"/>
    <w:rsid w:val="002064AD"/>
    <w:rsid w:val="00207C66"/>
    <w:rsid w:val="00207E84"/>
    <w:rsid w:val="0021028E"/>
    <w:rsid w:val="00210698"/>
    <w:rsid w:val="00210DEB"/>
    <w:rsid w:val="0021130F"/>
    <w:rsid w:val="00215DD9"/>
    <w:rsid w:val="00215FA5"/>
    <w:rsid w:val="00217213"/>
    <w:rsid w:val="00217E5C"/>
    <w:rsid w:val="00220312"/>
    <w:rsid w:val="00220426"/>
    <w:rsid w:val="0022320F"/>
    <w:rsid w:val="0022376B"/>
    <w:rsid w:val="002249A1"/>
    <w:rsid w:val="00225113"/>
    <w:rsid w:val="00225922"/>
    <w:rsid w:val="002267BE"/>
    <w:rsid w:val="00227F97"/>
    <w:rsid w:val="0023096E"/>
    <w:rsid w:val="00230A51"/>
    <w:rsid w:val="0023282D"/>
    <w:rsid w:val="00233096"/>
    <w:rsid w:val="00233934"/>
    <w:rsid w:val="00234260"/>
    <w:rsid w:val="002346F7"/>
    <w:rsid w:val="00235B7B"/>
    <w:rsid w:val="00235CC1"/>
    <w:rsid w:val="00236584"/>
    <w:rsid w:val="00236E2A"/>
    <w:rsid w:val="002372AA"/>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6C4"/>
    <w:rsid w:val="00256C02"/>
    <w:rsid w:val="00257E4C"/>
    <w:rsid w:val="00260906"/>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8C5"/>
    <w:rsid w:val="00276A9B"/>
    <w:rsid w:val="00280F99"/>
    <w:rsid w:val="002814D8"/>
    <w:rsid w:val="002820F2"/>
    <w:rsid w:val="00286200"/>
    <w:rsid w:val="002918A4"/>
    <w:rsid w:val="00291D4D"/>
    <w:rsid w:val="0029237D"/>
    <w:rsid w:val="002958D5"/>
    <w:rsid w:val="00297960"/>
    <w:rsid w:val="002A0D8D"/>
    <w:rsid w:val="002A160F"/>
    <w:rsid w:val="002A2BB2"/>
    <w:rsid w:val="002A45C4"/>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1475"/>
    <w:rsid w:val="002C16D3"/>
    <w:rsid w:val="002C2B8E"/>
    <w:rsid w:val="002C40FE"/>
    <w:rsid w:val="002C4433"/>
    <w:rsid w:val="002C4F7A"/>
    <w:rsid w:val="002C6CCD"/>
    <w:rsid w:val="002C7604"/>
    <w:rsid w:val="002C7B4F"/>
    <w:rsid w:val="002D0320"/>
    <w:rsid w:val="002D19EF"/>
    <w:rsid w:val="002D25AC"/>
    <w:rsid w:val="002D689F"/>
    <w:rsid w:val="002E16A1"/>
    <w:rsid w:val="002E176D"/>
    <w:rsid w:val="002E2239"/>
    <w:rsid w:val="002E2570"/>
    <w:rsid w:val="002E33B4"/>
    <w:rsid w:val="002E4189"/>
    <w:rsid w:val="002E4E1F"/>
    <w:rsid w:val="002E6310"/>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5444"/>
    <w:rsid w:val="0031711C"/>
    <w:rsid w:val="003174C9"/>
    <w:rsid w:val="0032111D"/>
    <w:rsid w:val="00321871"/>
    <w:rsid w:val="00321CE1"/>
    <w:rsid w:val="0032247F"/>
    <w:rsid w:val="003225DD"/>
    <w:rsid w:val="003231B2"/>
    <w:rsid w:val="00323BBE"/>
    <w:rsid w:val="0032642A"/>
    <w:rsid w:val="003269F7"/>
    <w:rsid w:val="003311C0"/>
    <w:rsid w:val="00331A63"/>
    <w:rsid w:val="00331FB3"/>
    <w:rsid w:val="0033308E"/>
    <w:rsid w:val="00334807"/>
    <w:rsid w:val="00334980"/>
    <w:rsid w:val="00334AB0"/>
    <w:rsid w:val="00337A17"/>
    <w:rsid w:val="00340CC5"/>
    <w:rsid w:val="0034186B"/>
    <w:rsid w:val="00341A3B"/>
    <w:rsid w:val="00343E51"/>
    <w:rsid w:val="00344C56"/>
    <w:rsid w:val="00344FFF"/>
    <w:rsid w:val="0034610F"/>
    <w:rsid w:val="00347526"/>
    <w:rsid w:val="003502C2"/>
    <w:rsid w:val="003517F0"/>
    <w:rsid w:val="00352554"/>
    <w:rsid w:val="003536D4"/>
    <w:rsid w:val="00353B7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6493"/>
    <w:rsid w:val="003764AC"/>
    <w:rsid w:val="003779C0"/>
    <w:rsid w:val="0038068C"/>
    <w:rsid w:val="00381545"/>
    <w:rsid w:val="003835C7"/>
    <w:rsid w:val="00383C2D"/>
    <w:rsid w:val="0038762D"/>
    <w:rsid w:val="00387911"/>
    <w:rsid w:val="00387B93"/>
    <w:rsid w:val="00387CD9"/>
    <w:rsid w:val="00390861"/>
    <w:rsid w:val="00391413"/>
    <w:rsid w:val="003951F7"/>
    <w:rsid w:val="00397352"/>
    <w:rsid w:val="003A04F1"/>
    <w:rsid w:val="003A05B1"/>
    <w:rsid w:val="003A10BD"/>
    <w:rsid w:val="003A1A7A"/>
    <w:rsid w:val="003A3408"/>
    <w:rsid w:val="003A379D"/>
    <w:rsid w:val="003A450E"/>
    <w:rsid w:val="003A5437"/>
    <w:rsid w:val="003B0069"/>
    <w:rsid w:val="003B092F"/>
    <w:rsid w:val="003B349B"/>
    <w:rsid w:val="003B4302"/>
    <w:rsid w:val="003B4EF0"/>
    <w:rsid w:val="003B6428"/>
    <w:rsid w:val="003B71EA"/>
    <w:rsid w:val="003B7631"/>
    <w:rsid w:val="003C0EA9"/>
    <w:rsid w:val="003C12A7"/>
    <w:rsid w:val="003C228B"/>
    <w:rsid w:val="003C395D"/>
    <w:rsid w:val="003C6AA0"/>
    <w:rsid w:val="003C72EB"/>
    <w:rsid w:val="003C7822"/>
    <w:rsid w:val="003D02C6"/>
    <w:rsid w:val="003D0334"/>
    <w:rsid w:val="003D05C6"/>
    <w:rsid w:val="003D094E"/>
    <w:rsid w:val="003D1C70"/>
    <w:rsid w:val="003D448B"/>
    <w:rsid w:val="003D483E"/>
    <w:rsid w:val="003D518A"/>
    <w:rsid w:val="003D53AC"/>
    <w:rsid w:val="003D6EA3"/>
    <w:rsid w:val="003E0206"/>
    <w:rsid w:val="003E167F"/>
    <w:rsid w:val="003E1BE6"/>
    <w:rsid w:val="003E513F"/>
    <w:rsid w:val="003E64A1"/>
    <w:rsid w:val="003E68DE"/>
    <w:rsid w:val="003E6C26"/>
    <w:rsid w:val="003E6EC2"/>
    <w:rsid w:val="003F029F"/>
    <w:rsid w:val="003F0846"/>
    <w:rsid w:val="003F0C4D"/>
    <w:rsid w:val="003F4495"/>
    <w:rsid w:val="003F45B1"/>
    <w:rsid w:val="003F4DE6"/>
    <w:rsid w:val="003F5DFA"/>
    <w:rsid w:val="003F6CCB"/>
    <w:rsid w:val="004002A4"/>
    <w:rsid w:val="00402769"/>
    <w:rsid w:val="00402B1A"/>
    <w:rsid w:val="00403183"/>
    <w:rsid w:val="00405615"/>
    <w:rsid w:val="00407F9A"/>
    <w:rsid w:val="0041301A"/>
    <w:rsid w:val="00413B0F"/>
    <w:rsid w:val="0041476D"/>
    <w:rsid w:val="00415CCE"/>
    <w:rsid w:val="00415D42"/>
    <w:rsid w:val="00420B6F"/>
    <w:rsid w:val="00420D77"/>
    <w:rsid w:val="00422837"/>
    <w:rsid w:val="00422B2F"/>
    <w:rsid w:val="00425160"/>
    <w:rsid w:val="00426144"/>
    <w:rsid w:val="004264F2"/>
    <w:rsid w:val="004266D7"/>
    <w:rsid w:val="00427C67"/>
    <w:rsid w:val="0043038D"/>
    <w:rsid w:val="00431846"/>
    <w:rsid w:val="00431FC9"/>
    <w:rsid w:val="00432962"/>
    <w:rsid w:val="00433A98"/>
    <w:rsid w:val="0043430E"/>
    <w:rsid w:val="00436F17"/>
    <w:rsid w:val="0043702E"/>
    <w:rsid w:val="004429AA"/>
    <w:rsid w:val="00442BAD"/>
    <w:rsid w:val="00443603"/>
    <w:rsid w:val="0044554C"/>
    <w:rsid w:val="00446967"/>
    <w:rsid w:val="00446D38"/>
    <w:rsid w:val="004471DF"/>
    <w:rsid w:val="004512DB"/>
    <w:rsid w:val="004531E4"/>
    <w:rsid w:val="00455E2E"/>
    <w:rsid w:val="004572C4"/>
    <w:rsid w:val="00460D83"/>
    <w:rsid w:val="00461815"/>
    <w:rsid w:val="00462BDA"/>
    <w:rsid w:val="00463A36"/>
    <w:rsid w:val="004719EB"/>
    <w:rsid w:val="00471A72"/>
    <w:rsid w:val="00473872"/>
    <w:rsid w:val="004743E4"/>
    <w:rsid w:val="0047474E"/>
    <w:rsid w:val="004757C6"/>
    <w:rsid w:val="00477051"/>
    <w:rsid w:val="00480202"/>
    <w:rsid w:val="004809FB"/>
    <w:rsid w:val="0048286F"/>
    <w:rsid w:val="00482F82"/>
    <w:rsid w:val="00486A72"/>
    <w:rsid w:val="00486BFB"/>
    <w:rsid w:val="00490CFF"/>
    <w:rsid w:val="00491875"/>
    <w:rsid w:val="00491AC3"/>
    <w:rsid w:val="004922B0"/>
    <w:rsid w:val="00492701"/>
    <w:rsid w:val="00492997"/>
    <w:rsid w:val="00493C31"/>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C2"/>
    <w:rsid w:val="004C06D2"/>
    <w:rsid w:val="004C0D56"/>
    <w:rsid w:val="004C1E8F"/>
    <w:rsid w:val="004C2413"/>
    <w:rsid w:val="004C252D"/>
    <w:rsid w:val="004C4E4E"/>
    <w:rsid w:val="004C6C6F"/>
    <w:rsid w:val="004D03CA"/>
    <w:rsid w:val="004D1C31"/>
    <w:rsid w:val="004D2705"/>
    <w:rsid w:val="004D360B"/>
    <w:rsid w:val="004D4620"/>
    <w:rsid w:val="004D4B7E"/>
    <w:rsid w:val="004D4D2D"/>
    <w:rsid w:val="004D64D5"/>
    <w:rsid w:val="004E0B77"/>
    <w:rsid w:val="004E0EBA"/>
    <w:rsid w:val="004E1E75"/>
    <w:rsid w:val="004E22C3"/>
    <w:rsid w:val="004E270C"/>
    <w:rsid w:val="004E394E"/>
    <w:rsid w:val="004E4F0D"/>
    <w:rsid w:val="004E522E"/>
    <w:rsid w:val="004E5351"/>
    <w:rsid w:val="004E58BE"/>
    <w:rsid w:val="004E5EAB"/>
    <w:rsid w:val="004E66C6"/>
    <w:rsid w:val="004E68D5"/>
    <w:rsid w:val="004F01F7"/>
    <w:rsid w:val="004F0931"/>
    <w:rsid w:val="004F0F4D"/>
    <w:rsid w:val="004F15C4"/>
    <w:rsid w:val="004F56F1"/>
    <w:rsid w:val="004F5EAC"/>
    <w:rsid w:val="004F78D1"/>
    <w:rsid w:val="00501D7F"/>
    <w:rsid w:val="00502A3A"/>
    <w:rsid w:val="005037BB"/>
    <w:rsid w:val="0050388E"/>
    <w:rsid w:val="005061A2"/>
    <w:rsid w:val="00506784"/>
    <w:rsid w:val="00507DA6"/>
    <w:rsid w:val="0051151E"/>
    <w:rsid w:val="00511C33"/>
    <w:rsid w:val="00512307"/>
    <w:rsid w:val="005126F8"/>
    <w:rsid w:val="00512DB2"/>
    <w:rsid w:val="00514431"/>
    <w:rsid w:val="005150B8"/>
    <w:rsid w:val="005150FC"/>
    <w:rsid w:val="00516122"/>
    <w:rsid w:val="0051638C"/>
    <w:rsid w:val="0051792D"/>
    <w:rsid w:val="00520364"/>
    <w:rsid w:val="00521810"/>
    <w:rsid w:val="00521A7F"/>
    <w:rsid w:val="00523B51"/>
    <w:rsid w:val="00524A4D"/>
    <w:rsid w:val="00526440"/>
    <w:rsid w:val="00526FCD"/>
    <w:rsid w:val="0053095B"/>
    <w:rsid w:val="00533060"/>
    <w:rsid w:val="00533386"/>
    <w:rsid w:val="00533661"/>
    <w:rsid w:val="00533C18"/>
    <w:rsid w:val="0053649B"/>
    <w:rsid w:val="00537151"/>
    <w:rsid w:val="0053734E"/>
    <w:rsid w:val="0054043A"/>
    <w:rsid w:val="00541708"/>
    <w:rsid w:val="00542579"/>
    <w:rsid w:val="00545A96"/>
    <w:rsid w:val="00546D77"/>
    <w:rsid w:val="005508EC"/>
    <w:rsid w:val="00551571"/>
    <w:rsid w:val="00552C7E"/>
    <w:rsid w:val="0055375E"/>
    <w:rsid w:val="00554534"/>
    <w:rsid w:val="005547F0"/>
    <w:rsid w:val="00557A6A"/>
    <w:rsid w:val="0056057C"/>
    <w:rsid w:val="00560892"/>
    <w:rsid w:val="0056189A"/>
    <w:rsid w:val="00561C49"/>
    <w:rsid w:val="00562D89"/>
    <w:rsid w:val="005647E2"/>
    <w:rsid w:val="0056567B"/>
    <w:rsid w:val="0056730B"/>
    <w:rsid w:val="00567BFE"/>
    <w:rsid w:val="00571F85"/>
    <w:rsid w:val="00572BD5"/>
    <w:rsid w:val="00573679"/>
    <w:rsid w:val="005753A2"/>
    <w:rsid w:val="00576199"/>
    <w:rsid w:val="00576722"/>
    <w:rsid w:val="00577EC9"/>
    <w:rsid w:val="00580E03"/>
    <w:rsid w:val="005811AF"/>
    <w:rsid w:val="00581C36"/>
    <w:rsid w:val="00582303"/>
    <w:rsid w:val="00582DEE"/>
    <w:rsid w:val="00583D05"/>
    <w:rsid w:val="00584213"/>
    <w:rsid w:val="005849D8"/>
    <w:rsid w:val="00585BEA"/>
    <w:rsid w:val="00586079"/>
    <w:rsid w:val="00586D41"/>
    <w:rsid w:val="00590442"/>
    <w:rsid w:val="00590A06"/>
    <w:rsid w:val="00590FFC"/>
    <w:rsid w:val="00591212"/>
    <w:rsid w:val="00591AE5"/>
    <w:rsid w:val="00592FB0"/>
    <w:rsid w:val="005950E8"/>
    <w:rsid w:val="005972B8"/>
    <w:rsid w:val="005A1C0B"/>
    <w:rsid w:val="005A33E7"/>
    <w:rsid w:val="005A3BF8"/>
    <w:rsid w:val="005A66B6"/>
    <w:rsid w:val="005A6732"/>
    <w:rsid w:val="005B16C7"/>
    <w:rsid w:val="005B6160"/>
    <w:rsid w:val="005B6637"/>
    <w:rsid w:val="005B7547"/>
    <w:rsid w:val="005C4EF5"/>
    <w:rsid w:val="005C5F10"/>
    <w:rsid w:val="005C6075"/>
    <w:rsid w:val="005C60A3"/>
    <w:rsid w:val="005D1856"/>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21E"/>
    <w:rsid w:val="00607E82"/>
    <w:rsid w:val="00610D4C"/>
    <w:rsid w:val="00614708"/>
    <w:rsid w:val="00614DE2"/>
    <w:rsid w:val="006155F2"/>
    <w:rsid w:val="00615804"/>
    <w:rsid w:val="00615F9F"/>
    <w:rsid w:val="00617413"/>
    <w:rsid w:val="00620688"/>
    <w:rsid w:val="0062079A"/>
    <w:rsid w:val="0062123B"/>
    <w:rsid w:val="00621FDF"/>
    <w:rsid w:val="00623836"/>
    <w:rsid w:val="0062453F"/>
    <w:rsid w:val="00624BD8"/>
    <w:rsid w:val="00625CD0"/>
    <w:rsid w:val="00625F58"/>
    <w:rsid w:val="00626128"/>
    <w:rsid w:val="0062696A"/>
    <w:rsid w:val="00626AC1"/>
    <w:rsid w:val="00627143"/>
    <w:rsid w:val="0063054D"/>
    <w:rsid w:val="00630585"/>
    <w:rsid w:val="00631FCD"/>
    <w:rsid w:val="0063281F"/>
    <w:rsid w:val="00632F75"/>
    <w:rsid w:val="0063382E"/>
    <w:rsid w:val="00634522"/>
    <w:rsid w:val="00634B43"/>
    <w:rsid w:val="00635913"/>
    <w:rsid w:val="00637A18"/>
    <w:rsid w:val="00637DA4"/>
    <w:rsid w:val="00637F91"/>
    <w:rsid w:val="006411CB"/>
    <w:rsid w:val="00641A20"/>
    <w:rsid w:val="0064291F"/>
    <w:rsid w:val="00646410"/>
    <w:rsid w:val="00647028"/>
    <w:rsid w:val="0064770E"/>
    <w:rsid w:val="00647A3F"/>
    <w:rsid w:val="00650D18"/>
    <w:rsid w:val="006528C2"/>
    <w:rsid w:val="0065374E"/>
    <w:rsid w:val="00653A6B"/>
    <w:rsid w:val="00654171"/>
    <w:rsid w:val="00654E07"/>
    <w:rsid w:val="00654E6E"/>
    <w:rsid w:val="00656A82"/>
    <w:rsid w:val="0065723E"/>
    <w:rsid w:val="00657A94"/>
    <w:rsid w:val="00660CD2"/>
    <w:rsid w:val="00661EE4"/>
    <w:rsid w:val="006622D9"/>
    <w:rsid w:val="006630CE"/>
    <w:rsid w:val="0066334A"/>
    <w:rsid w:val="00663ECE"/>
    <w:rsid w:val="006647BF"/>
    <w:rsid w:val="006664D9"/>
    <w:rsid w:val="0066762F"/>
    <w:rsid w:val="006719BF"/>
    <w:rsid w:val="00671C39"/>
    <w:rsid w:val="00671DDC"/>
    <w:rsid w:val="0067283C"/>
    <w:rsid w:val="0067348B"/>
    <w:rsid w:val="0067370F"/>
    <w:rsid w:val="00676D70"/>
    <w:rsid w:val="00677A16"/>
    <w:rsid w:val="00680259"/>
    <w:rsid w:val="00681FD4"/>
    <w:rsid w:val="00682D66"/>
    <w:rsid w:val="00683235"/>
    <w:rsid w:val="006833C1"/>
    <w:rsid w:val="006848A5"/>
    <w:rsid w:val="00690781"/>
    <w:rsid w:val="00690A22"/>
    <w:rsid w:val="006926C8"/>
    <w:rsid w:val="00694075"/>
    <w:rsid w:val="00694EE3"/>
    <w:rsid w:val="006975DE"/>
    <w:rsid w:val="00697904"/>
    <w:rsid w:val="006A0343"/>
    <w:rsid w:val="006A20D8"/>
    <w:rsid w:val="006A2B8B"/>
    <w:rsid w:val="006A355B"/>
    <w:rsid w:val="006A3847"/>
    <w:rsid w:val="006A4027"/>
    <w:rsid w:val="006A4922"/>
    <w:rsid w:val="006A65D0"/>
    <w:rsid w:val="006A67C8"/>
    <w:rsid w:val="006A6D6C"/>
    <w:rsid w:val="006A7FD5"/>
    <w:rsid w:val="006B06C6"/>
    <w:rsid w:val="006B0EE4"/>
    <w:rsid w:val="006B179F"/>
    <w:rsid w:val="006B2B95"/>
    <w:rsid w:val="006B340F"/>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E33"/>
    <w:rsid w:val="006D3C89"/>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F1EB1"/>
    <w:rsid w:val="006F2202"/>
    <w:rsid w:val="007003A3"/>
    <w:rsid w:val="007003E0"/>
    <w:rsid w:val="00700FD0"/>
    <w:rsid w:val="00701375"/>
    <w:rsid w:val="007026BC"/>
    <w:rsid w:val="00702D34"/>
    <w:rsid w:val="007031CB"/>
    <w:rsid w:val="0070339F"/>
    <w:rsid w:val="007054EB"/>
    <w:rsid w:val="00707173"/>
    <w:rsid w:val="00707C83"/>
    <w:rsid w:val="00711097"/>
    <w:rsid w:val="00713A87"/>
    <w:rsid w:val="00716BFF"/>
    <w:rsid w:val="00717462"/>
    <w:rsid w:val="0071757D"/>
    <w:rsid w:val="00717B1D"/>
    <w:rsid w:val="007208CC"/>
    <w:rsid w:val="00720C78"/>
    <w:rsid w:val="0072218E"/>
    <w:rsid w:val="00722F34"/>
    <w:rsid w:val="007246A5"/>
    <w:rsid w:val="007246C8"/>
    <w:rsid w:val="00726D1D"/>
    <w:rsid w:val="00730E87"/>
    <w:rsid w:val="00731934"/>
    <w:rsid w:val="0073197B"/>
    <w:rsid w:val="0073573F"/>
    <w:rsid w:val="00735D7A"/>
    <w:rsid w:val="007375AA"/>
    <w:rsid w:val="007406BC"/>
    <w:rsid w:val="00740E56"/>
    <w:rsid w:val="007411C2"/>
    <w:rsid w:val="00741F93"/>
    <w:rsid w:val="00743548"/>
    <w:rsid w:val="00743602"/>
    <w:rsid w:val="00743A8F"/>
    <w:rsid w:val="0074534D"/>
    <w:rsid w:val="0074587A"/>
    <w:rsid w:val="00747264"/>
    <w:rsid w:val="00747CDD"/>
    <w:rsid w:val="00747DBF"/>
    <w:rsid w:val="007509BD"/>
    <w:rsid w:val="007537AD"/>
    <w:rsid w:val="00753976"/>
    <w:rsid w:val="00755A99"/>
    <w:rsid w:val="007567A8"/>
    <w:rsid w:val="0075702C"/>
    <w:rsid w:val="007574A9"/>
    <w:rsid w:val="00757832"/>
    <w:rsid w:val="00757D62"/>
    <w:rsid w:val="00757DE4"/>
    <w:rsid w:val="0076037E"/>
    <w:rsid w:val="0076131A"/>
    <w:rsid w:val="00761C9B"/>
    <w:rsid w:val="00762831"/>
    <w:rsid w:val="0076288D"/>
    <w:rsid w:val="00762979"/>
    <w:rsid w:val="00762EB0"/>
    <w:rsid w:val="00764D40"/>
    <w:rsid w:val="00764E00"/>
    <w:rsid w:val="00764F51"/>
    <w:rsid w:val="00765426"/>
    <w:rsid w:val="007657EC"/>
    <w:rsid w:val="007673AF"/>
    <w:rsid w:val="007676DD"/>
    <w:rsid w:val="00770179"/>
    <w:rsid w:val="00771170"/>
    <w:rsid w:val="007721C3"/>
    <w:rsid w:val="00774CCB"/>
    <w:rsid w:val="00774E01"/>
    <w:rsid w:val="007752D7"/>
    <w:rsid w:val="00775CBB"/>
    <w:rsid w:val="00776BFF"/>
    <w:rsid w:val="00783B93"/>
    <w:rsid w:val="0078518E"/>
    <w:rsid w:val="007860B2"/>
    <w:rsid w:val="007863DD"/>
    <w:rsid w:val="0078751F"/>
    <w:rsid w:val="00790C76"/>
    <w:rsid w:val="007911B4"/>
    <w:rsid w:val="00791CB9"/>
    <w:rsid w:val="00792369"/>
    <w:rsid w:val="007927A9"/>
    <w:rsid w:val="007965BA"/>
    <w:rsid w:val="00797FD1"/>
    <w:rsid w:val="007A0B0C"/>
    <w:rsid w:val="007A1EEF"/>
    <w:rsid w:val="007A3464"/>
    <w:rsid w:val="007A5134"/>
    <w:rsid w:val="007A5913"/>
    <w:rsid w:val="007A68F1"/>
    <w:rsid w:val="007A6986"/>
    <w:rsid w:val="007A6A05"/>
    <w:rsid w:val="007A6ECA"/>
    <w:rsid w:val="007B07BE"/>
    <w:rsid w:val="007B1159"/>
    <w:rsid w:val="007B1DBF"/>
    <w:rsid w:val="007B31E6"/>
    <w:rsid w:val="007B417D"/>
    <w:rsid w:val="007B703F"/>
    <w:rsid w:val="007B777D"/>
    <w:rsid w:val="007C0355"/>
    <w:rsid w:val="007C270A"/>
    <w:rsid w:val="007C4D1B"/>
    <w:rsid w:val="007C4D66"/>
    <w:rsid w:val="007C56AF"/>
    <w:rsid w:val="007D3D88"/>
    <w:rsid w:val="007D3FDE"/>
    <w:rsid w:val="007D4161"/>
    <w:rsid w:val="007D64B6"/>
    <w:rsid w:val="007D6D3B"/>
    <w:rsid w:val="007D7285"/>
    <w:rsid w:val="007D74F1"/>
    <w:rsid w:val="007D7F2A"/>
    <w:rsid w:val="007E0CD3"/>
    <w:rsid w:val="007E1C33"/>
    <w:rsid w:val="007E297D"/>
    <w:rsid w:val="007E4180"/>
    <w:rsid w:val="007E55B9"/>
    <w:rsid w:val="007E6240"/>
    <w:rsid w:val="007E6A0D"/>
    <w:rsid w:val="007F329D"/>
    <w:rsid w:val="007F419C"/>
    <w:rsid w:val="007F4243"/>
    <w:rsid w:val="007F510D"/>
    <w:rsid w:val="007F5F56"/>
    <w:rsid w:val="007F64D7"/>
    <w:rsid w:val="00801280"/>
    <w:rsid w:val="00802397"/>
    <w:rsid w:val="00803146"/>
    <w:rsid w:val="0081035D"/>
    <w:rsid w:val="00811508"/>
    <w:rsid w:val="008126CA"/>
    <w:rsid w:val="00812860"/>
    <w:rsid w:val="00813577"/>
    <w:rsid w:val="00813892"/>
    <w:rsid w:val="00814011"/>
    <w:rsid w:val="0081599A"/>
    <w:rsid w:val="0081651C"/>
    <w:rsid w:val="00816CEE"/>
    <w:rsid w:val="00820107"/>
    <w:rsid w:val="00820503"/>
    <w:rsid w:val="008206AA"/>
    <w:rsid w:val="00822544"/>
    <w:rsid w:val="00824D06"/>
    <w:rsid w:val="00825707"/>
    <w:rsid w:val="00826415"/>
    <w:rsid w:val="00826C92"/>
    <w:rsid w:val="00827003"/>
    <w:rsid w:val="008279E8"/>
    <w:rsid w:val="0083280D"/>
    <w:rsid w:val="00832EF8"/>
    <w:rsid w:val="0083323B"/>
    <w:rsid w:val="00833B2D"/>
    <w:rsid w:val="008359C2"/>
    <w:rsid w:val="0083627E"/>
    <w:rsid w:val="00836B29"/>
    <w:rsid w:val="0083757D"/>
    <w:rsid w:val="0083788B"/>
    <w:rsid w:val="00837950"/>
    <w:rsid w:val="00840660"/>
    <w:rsid w:val="008414D4"/>
    <w:rsid w:val="00841BA2"/>
    <w:rsid w:val="00841C68"/>
    <w:rsid w:val="00844B35"/>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15F5"/>
    <w:rsid w:val="008716C3"/>
    <w:rsid w:val="008720B4"/>
    <w:rsid w:val="0087342C"/>
    <w:rsid w:val="00873652"/>
    <w:rsid w:val="00873A2B"/>
    <w:rsid w:val="00873C76"/>
    <w:rsid w:val="0088203B"/>
    <w:rsid w:val="008826AE"/>
    <w:rsid w:val="00882B71"/>
    <w:rsid w:val="0088354E"/>
    <w:rsid w:val="00884DB3"/>
    <w:rsid w:val="00884F97"/>
    <w:rsid w:val="008852E4"/>
    <w:rsid w:val="00885557"/>
    <w:rsid w:val="00885EF2"/>
    <w:rsid w:val="00886531"/>
    <w:rsid w:val="00886CB2"/>
    <w:rsid w:val="00886DDD"/>
    <w:rsid w:val="008871C0"/>
    <w:rsid w:val="00887389"/>
    <w:rsid w:val="0089076F"/>
    <w:rsid w:val="00890A79"/>
    <w:rsid w:val="008917FE"/>
    <w:rsid w:val="00893F74"/>
    <w:rsid w:val="008958C9"/>
    <w:rsid w:val="00895A60"/>
    <w:rsid w:val="008A00DE"/>
    <w:rsid w:val="008A0573"/>
    <w:rsid w:val="008A05F4"/>
    <w:rsid w:val="008A14C9"/>
    <w:rsid w:val="008A1CD8"/>
    <w:rsid w:val="008A296E"/>
    <w:rsid w:val="008A3721"/>
    <w:rsid w:val="008A4158"/>
    <w:rsid w:val="008A612D"/>
    <w:rsid w:val="008B0EB6"/>
    <w:rsid w:val="008B1563"/>
    <w:rsid w:val="008B2182"/>
    <w:rsid w:val="008B2311"/>
    <w:rsid w:val="008B436F"/>
    <w:rsid w:val="008B43E9"/>
    <w:rsid w:val="008B45BA"/>
    <w:rsid w:val="008B4B00"/>
    <w:rsid w:val="008B5DC7"/>
    <w:rsid w:val="008B6DDD"/>
    <w:rsid w:val="008B7248"/>
    <w:rsid w:val="008C0E7A"/>
    <w:rsid w:val="008C37C5"/>
    <w:rsid w:val="008C708E"/>
    <w:rsid w:val="008C76E9"/>
    <w:rsid w:val="008D14D9"/>
    <w:rsid w:val="008D1EFE"/>
    <w:rsid w:val="008D2846"/>
    <w:rsid w:val="008D3777"/>
    <w:rsid w:val="008D59AB"/>
    <w:rsid w:val="008D6949"/>
    <w:rsid w:val="008E1039"/>
    <w:rsid w:val="008E12A9"/>
    <w:rsid w:val="008E1FA2"/>
    <w:rsid w:val="008E2618"/>
    <w:rsid w:val="008E3570"/>
    <w:rsid w:val="008E4C66"/>
    <w:rsid w:val="008E6162"/>
    <w:rsid w:val="008E7993"/>
    <w:rsid w:val="008F1823"/>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0FE"/>
    <w:rsid w:val="0091330E"/>
    <w:rsid w:val="00914BBA"/>
    <w:rsid w:val="00915A9F"/>
    <w:rsid w:val="009208A9"/>
    <w:rsid w:val="00920D85"/>
    <w:rsid w:val="0092182F"/>
    <w:rsid w:val="00921C4E"/>
    <w:rsid w:val="009228F9"/>
    <w:rsid w:val="00923251"/>
    <w:rsid w:val="0092506B"/>
    <w:rsid w:val="009257BD"/>
    <w:rsid w:val="00931DE0"/>
    <w:rsid w:val="00932F0E"/>
    <w:rsid w:val="00935385"/>
    <w:rsid w:val="0093559E"/>
    <w:rsid w:val="00937E67"/>
    <w:rsid w:val="00937F8B"/>
    <w:rsid w:val="0094005A"/>
    <w:rsid w:val="00940149"/>
    <w:rsid w:val="0094058D"/>
    <w:rsid w:val="00940C83"/>
    <w:rsid w:val="0094128C"/>
    <w:rsid w:val="00942B76"/>
    <w:rsid w:val="00943400"/>
    <w:rsid w:val="00943E24"/>
    <w:rsid w:val="00944376"/>
    <w:rsid w:val="00947E1F"/>
    <w:rsid w:val="0095067C"/>
    <w:rsid w:val="00950C60"/>
    <w:rsid w:val="00950F90"/>
    <w:rsid w:val="00951867"/>
    <w:rsid w:val="00954387"/>
    <w:rsid w:val="00955A06"/>
    <w:rsid w:val="00955E90"/>
    <w:rsid w:val="0095657C"/>
    <w:rsid w:val="00956C93"/>
    <w:rsid w:val="00957F10"/>
    <w:rsid w:val="00961CB5"/>
    <w:rsid w:val="00963996"/>
    <w:rsid w:val="00963CEC"/>
    <w:rsid w:val="00964E7B"/>
    <w:rsid w:val="0096580F"/>
    <w:rsid w:val="00972ABA"/>
    <w:rsid w:val="009772DC"/>
    <w:rsid w:val="0097735C"/>
    <w:rsid w:val="00977D30"/>
    <w:rsid w:val="009843F3"/>
    <w:rsid w:val="00984EE4"/>
    <w:rsid w:val="00985EC0"/>
    <w:rsid w:val="00987780"/>
    <w:rsid w:val="00990134"/>
    <w:rsid w:val="009907D3"/>
    <w:rsid w:val="00990D58"/>
    <w:rsid w:val="00991A9E"/>
    <w:rsid w:val="0099276B"/>
    <w:rsid w:val="009939E0"/>
    <w:rsid w:val="00994D4C"/>
    <w:rsid w:val="00995687"/>
    <w:rsid w:val="00996062"/>
    <w:rsid w:val="00997B85"/>
    <w:rsid w:val="009A0F49"/>
    <w:rsid w:val="009A3CD0"/>
    <w:rsid w:val="009A4B51"/>
    <w:rsid w:val="009A4BA7"/>
    <w:rsid w:val="009A6B02"/>
    <w:rsid w:val="009A7717"/>
    <w:rsid w:val="009A7E09"/>
    <w:rsid w:val="009A7EFF"/>
    <w:rsid w:val="009B29DE"/>
    <w:rsid w:val="009B2B44"/>
    <w:rsid w:val="009B3B32"/>
    <w:rsid w:val="009B5106"/>
    <w:rsid w:val="009B57F5"/>
    <w:rsid w:val="009B600B"/>
    <w:rsid w:val="009B6D20"/>
    <w:rsid w:val="009B7238"/>
    <w:rsid w:val="009B77A9"/>
    <w:rsid w:val="009C075B"/>
    <w:rsid w:val="009C08D8"/>
    <w:rsid w:val="009C0FEE"/>
    <w:rsid w:val="009C30E1"/>
    <w:rsid w:val="009C3A86"/>
    <w:rsid w:val="009C3F5F"/>
    <w:rsid w:val="009C6147"/>
    <w:rsid w:val="009C65DB"/>
    <w:rsid w:val="009C6C72"/>
    <w:rsid w:val="009D04ED"/>
    <w:rsid w:val="009D0D84"/>
    <w:rsid w:val="009D1C7F"/>
    <w:rsid w:val="009D5B8F"/>
    <w:rsid w:val="009E05A9"/>
    <w:rsid w:val="009E0E5D"/>
    <w:rsid w:val="009E1CDA"/>
    <w:rsid w:val="009E23BF"/>
    <w:rsid w:val="009E312E"/>
    <w:rsid w:val="009E35E2"/>
    <w:rsid w:val="009E4698"/>
    <w:rsid w:val="009E5BC3"/>
    <w:rsid w:val="009E6101"/>
    <w:rsid w:val="009E7ED2"/>
    <w:rsid w:val="009F0699"/>
    <w:rsid w:val="009F0C6E"/>
    <w:rsid w:val="009F36A9"/>
    <w:rsid w:val="009F407C"/>
    <w:rsid w:val="009F5D60"/>
    <w:rsid w:val="009F64DD"/>
    <w:rsid w:val="009F6669"/>
    <w:rsid w:val="009F7551"/>
    <w:rsid w:val="00A066FE"/>
    <w:rsid w:val="00A1077C"/>
    <w:rsid w:val="00A1097A"/>
    <w:rsid w:val="00A10FD7"/>
    <w:rsid w:val="00A117B1"/>
    <w:rsid w:val="00A11D56"/>
    <w:rsid w:val="00A1307C"/>
    <w:rsid w:val="00A207C9"/>
    <w:rsid w:val="00A2293E"/>
    <w:rsid w:val="00A23010"/>
    <w:rsid w:val="00A234FD"/>
    <w:rsid w:val="00A25637"/>
    <w:rsid w:val="00A25B95"/>
    <w:rsid w:val="00A25CBF"/>
    <w:rsid w:val="00A32EAA"/>
    <w:rsid w:val="00A33253"/>
    <w:rsid w:val="00A34E6D"/>
    <w:rsid w:val="00A35287"/>
    <w:rsid w:val="00A35A8A"/>
    <w:rsid w:val="00A364B4"/>
    <w:rsid w:val="00A37F30"/>
    <w:rsid w:val="00A412B6"/>
    <w:rsid w:val="00A4435C"/>
    <w:rsid w:val="00A4562D"/>
    <w:rsid w:val="00A50496"/>
    <w:rsid w:val="00A50A0F"/>
    <w:rsid w:val="00A51CA9"/>
    <w:rsid w:val="00A5205B"/>
    <w:rsid w:val="00A52AD9"/>
    <w:rsid w:val="00A5404F"/>
    <w:rsid w:val="00A54B31"/>
    <w:rsid w:val="00A5586F"/>
    <w:rsid w:val="00A5727A"/>
    <w:rsid w:val="00A57331"/>
    <w:rsid w:val="00A63879"/>
    <w:rsid w:val="00A65090"/>
    <w:rsid w:val="00A669D3"/>
    <w:rsid w:val="00A67838"/>
    <w:rsid w:val="00A67AA6"/>
    <w:rsid w:val="00A67EBD"/>
    <w:rsid w:val="00A73C0C"/>
    <w:rsid w:val="00A7416B"/>
    <w:rsid w:val="00A74714"/>
    <w:rsid w:val="00A74E93"/>
    <w:rsid w:val="00A76AE4"/>
    <w:rsid w:val="00A77EC8"/>
    <w:rsid w:val="00A806CB"/>
    <w:rsid w:val="00A83332"/>
    <w:rsid w:val="00A8389E"/>
    <w:rsid w:val="00A83AA2"/>
    <w:rsid w:val="00A8560E"/>
    <w:rsid w:val="00A87A2D"/>
    <w:rsid w:val="00A87A5A"/>
    <w:rsid w:val="00A87C7A"/>
    <w:rsid w:val="00A91781"/>
    <w:rsid w:val="00A92533"/>
    <w:rsid w:val="00A95A86"/>
    <w:rsid w:val="00A96304"/>
    <w:rsid w:val="00A964A0"/>
    <w:rsid w:val="00AA3968"/>
    <w:rsid w:val="00AA4113"/>
    <w:rsid w:val="00AA4DA4"/>
    <w:rsid w:val="00AA53F5"/>
    <w:rsid w:val="00AA62A5"/>
    <w:rsid w:val="00AA66BF"/>
    <w:rsid w:val="00AA6708"/>
    <w:rsid w:val="00AB03B7"/>
    <w:rsid w:val="00AB0BB3"/>
    <w:rsid w:val="00AB338A"/>
    <w:rsid w:val="00AB3518"/>
    <w:rsid w:val="00AB389E"/>
    <w:rsid w:val="00AB3D21"/>
    <w:rsid w:val="00AB3ED6"/>
    <w:rsid w:val="00AB4752"/>
    <w:rsid w:val="00AB486A"/>
    <w:rsid w:val="00AB549C"/>
    <w:rsid w:val="00AB733F"/>
    <w:rsid w:val="00AC0A20"/>
    <w:rsid w:val="00AC0B67"/>
    <w:rsid w:val="00AC1089"/>
    <w:rsid w:val="00AC1FC3"/>
    <w:rsid w:val="00AC38B9"/>
    <w:rsid w:val="00AC483F"/>
    <w:rsid w:val="00AD02A4"/>
    <w:rsid w:val="00AD0744"/>
    <w:rsid w:val="00AD093C"/>
    <w:rsid w:val="00AD1367"/>
    <w:rsid w:val="00AD1A98"/>
    <w:rsid w:val="00AD2A12"/>
    <w:rsid w:val="00AD382E"/>
    <w:rsid w:val="00AD3C6D"/>
    <w:rsid w:val="00AD4752"/>
    <w:rsid w:val="00AD69DD"/>
    <w:rsid w:val="00AD6A5B"/>
    <w:rsid w:val="00AD7A92"/>
    <w:rsid w:val="00AD7ACB"/>
    <w:rsid w:val="00AD7FB4"/>
    <w:rsid w:val="00AE1006"/>
    <w:rsid w:val="00AE3F75"/>
    <w:rsid w:val="00AE3F8B"/>
    <w:rsid w:val="00AE4197"/>
    <w:rsid w:val="00AE4652"/>
    <w:rsid w:val="00AE5685"/>
    <w:rsid w:val="00AE7274"/>
    <w:rsid w:val="00AE7979"/>
    <w:rsid w:val="00AE7CEB"/>
    <w:rsid w:val="00AF3800"/>
    <w:rsid w:val="00AF6414"/>
    <w:rsid w:val="00AF678B"/>
    <w:rsid w:val="00B0131D"/>
    <w:rsid w:val="00B013B4"/>
    <w:rsid w:val="00B0254F"/>
    <w:rsid w:val="00B04602"/>
    <w:rsid w:val="00B0679F"/>
    <w:rsid w:val="00B06EA4"/>
    <w:rsid w:val="00B07560"/>
    <w:rsid w:val="00B1063F"/>
    <w:rsid w:val="00B10C54"/>
    <w:rsid w:val="00B13BC3"/>
    <w:rsid w:val="00B1468D"/>
    <w:rsid w:val="00B15C44"/>
    <w:rsid w:val="00B15D28"/>
    <w:rsid w:val="00B21EB9"/>
    <w:rsid w:val="00B22747"/>
    <w:rsid w:val="00B22F5A"/>
    <w:rsid w:val="00B233A5"/>
    <w:rsid w:val="00B233FD"/>
    <w:rsid w:val="00B23445"/>
    <w:rsid w:val="00B2496C"/>
    <w:rsid w:val="00B2508B"/>
    <w:rsid w:val="00B25427"/>
    <w:rsid w:val="00B2566B"/>
    <w:rsid w:val="00B261E5"/>
    <w:rsid w:val="00B301DE"/>
    <w:rsid w:val="00B31405"/>
    <w:rsid w:val="00B34C26"/>
    <w:rsid w:val="00B37396"/>
    <w:rsid w:val="00B406F8"/>
    <w:rsid w:val="00B40D16"/>
    <w:rsid w:val="00B41C7D"/>
    <w:rsid w:val="00B41F20"/>
    <w:rsid w:val="00B43EC3"/>
    <w:rsid w:val="00B470B7"/>
    <w:rsid w:val="00B47128"/>
    <w:rsid w:val="00B47A12"/>
    <w:rsid w:val="00B50867"/>
    <w:rsid w:val="00B51986"/>
    <w:rsid w:val="00B51ED5"/>
    <w:rsid w:val="00B53453"/>
    <w:rsid w:val="00B53CDC"/>
    <w:rsid w:val="00B558DB"/>
    <w:rsid w:val="00B562BD"/>
    <w:rsid w:val="00B575C7"/>
    <w:rsid w:val="00B57C3E"/>
    <w:rsid w:val="00B6091B"/>
    <w:rsid w:val="00B60E73"/>
    <w:rsid w:val="00B6246E"/>
    <w:rsid w:val="00B63721"/>
    <w:rsid w:val="00B638FF"/>
    <w:rsid w:val="00B63D50"/>
    <w:rsid w:val="00B63FC9"/>
    <w:rsid w:val="00B643FD"/>
    <w:rsid w:val="00B644F2"/>
    <w:rsid w:val="00B64510"/>
    <w:rsid w:val="00B65221"/>
    <w:rsid w:val="00B658A0"/>
    <w:rsid w:val="00B71367"/>
    <w:rsid w:val="00B72693"/>
    <w:rsid w:val="00B727E8"/>
    <w:rsid w:val="00B73F61"/>
    <w:rsid w:val="00B74BD3"/>
    <w:rsid w:val="00B74EDC"/>
    <w:rsid w:val="00B755BF"/>
    <w:rsid w:val="00B76C24"/>
    <w:rsid w:val="00B80F68"/>
    <w:rsid w:val="00B81C2A"/>
    <w:rsid w:val="00B8230C"/>
    <w:rsid w:val="00B84F0C"/>
    <w:rsid w:val="00B86353"/>
    <w:rsid w:val="00B9013C"/>
    <w:rsid w:val="00B90B32"/>
    <w:rsid w:val="00B91233"/>
    <w:rsid w:val="00B9164E"/>
    <w:rsid w:val="00B91FC1"/>
    <w:rsid w:val="00B924D7"/>
    <w:rsid w:val="00B9283B"/>
    <w:rsid w:val="00B933C5"/>
    <w:rsid w:val="00B9349C"/>
    <w:rsid w:val="00B936E7"/>
    <w:rsid w:val="00B938C5"/>
    <w:rsid w:val="00B942A2"/>
    <w:rsid w:val="00B95467"/>
    <w:rsid w:val="00B95929"/>
    <w:rsid w:val="00B95C8F"/>
    <w:rsid w:val="00B961D5"/>
    <w:rsid w:val="00B96998"/>
    <w:rsid w:val="00BA079E"/>
    <w:rsid w:val="00BA0BEA"/>
    <w:rsid w:val="00BA1303"/>
    <w:rsid w:val="00BA32D6"/>
    <w:rsid w:val="00BA3EF9"/>
    <w:rsid w:val="00BA4BF4"/>
    <w:rsid w:val="00BA6762"/>
    <w:rsid w:val="00BA6B09"/>
    <w:rsid w:val="00BB0074"/>
    <w:rsid w:val="00BB1164"/>
    <w:rsid w:val="00BB37B0"/>
    <w:rsid w:val="00BB5276"/>
    <w:rsid w:val="00BB5BA6"/>
    <w:rsid w:val="00BB6256"/>
    <w:rsid w:val="00BC3E5E"/>
    <w:rsid w:val="00BC43A2"/>
    <w:rsid w:val="00BC4B6D"/>
    <w:rsid w:val="00BC6317"/>
    <w:rsid w:val="00BC6A77"/>
    <w:rsid w:val="00BC7322"/>
    <w:rsid w:val="00BD21A1"/>
    <w:rsid w:val="00BD225F"/>
    <w:rsid w:val="00BD2A3E"/>
    <w:rsid w:val="00BD2B14"/>
    <w:rsid w:val="00BD3176"/>
    <w:rsid w:val="00BD336F"/>
    <w:rsid w:val="00BD348F"/>
    <w:rsid w:val="00BD3611"/>
    <w:rsid w:val="00BD4302"/>
    <w:rsid w:val="00BD481B"/>
    <w:rsid w:val="00BD4927"/>
    <w:rsid w:val="00BD55EE"/>
    <w:rsid w:val="00BD6452"/>
    <w:rsid w:val="00BE2AA7"/>
    <w:rsid w:val="00BE44F1"/>
    <w:rsid w:val="00BE4F8E"/>
    <w:rsid w:val="00BE58C3"/>
    <w:rsid w:val="00BE68FC"/>
    <w:rsid w:val="00BE6DDA"/>
    <w:rsid w:val="00BF1EC3"/>
    <w:rsid w:val="00BF23EC"/>
    <w:rsid w:val="00BF2587"/>
    <w:rsid w:val="00BF2ACA"/>
    <w:rsid w:val="00BF53A2"/>
    <w:rsid w:val="00BF5456"/>
    <w:rsid w:val="00BF5482"/>
    <w:rsid w:val="00BF581C"/>
    <w:rsid w:val="00BF6B4C"/>
    <w:rsid w:val="00BF6BFA"/>
    <w:rsid w:val="00BF7AED"/>
    <w:rsid w:val="00C00579"/>
    <w:rsid w:val="00C007AD"/>
    <w:rsid w:val="00C0287C"/>
    <w:rsid w:val="00C02FC3"/>
    <w:rsid w:val="00C040FF"/>
    <w:rsid w:val="00C052A4"/>
    <w:rsid w:val="00C06976"/>
    <w:rsid w:val="00C074C1"/>
    <w:rsid w:val="00C105A5"/>
    <w:rsid w:val="00C10851"/>
    <w:rsid w:val="00C12FFA"/>
    <w:rsid w:val="00C13112"/>
    <w:rsid w:val="00C15A43"/>
    <w:rsid w:val="00C16D0F"/>
    <w:rsid w:val="00C17877"/>
    <w:rsid w:val="00C17BD5"/>
    <w:rsid w:val="00C17F52"/>
    <w:rsid w:val="00C204F9"/>
    <w:rsid w:val="00C220C7"/>
    <w:rsid w:val="00C22D64"/>
    <w:rsid w:val="00C23BBF"/>
    <w:rsid w:val="00C24B52"/>
    <w:rsid w:val="00C25520"/>
    <w:rsid w:val="00C261F4"/>
    <w:rsid w:val="00C273BF"/>
    <w:rsid w:val="00C2790C"/>
    <w:rsid w:val="00C31DCE"/>
    <w:rsid w:val="00C32334"/>
    <w:rsid w:val="00C326D7"/>
    <w:rsid w:val="00C32CE2"/>
    <w:rsid w:val="00C3333A"/>
    <w:rsid w:val="00C35D35"/>
    <w:rsid w:val="00C360F3"/>
    <w:rsid w:val="00C36F8A"/>
    <w:rsid w:val="00C415EC"/>
    <w:rsid w:val="00C418A7"/>
    <w:rsid w:val="00C42363"/>
    <w:rsid w:val="00C44519"/>
    <w:rsid w:val="00C45052"/>
    <w:rsid w:val="00C45D64"/>
    <w:rsid w:val="00C463A3"/>
    <w:rsid w:val="00C507FB"/>
    <w:rsid w:val="00C5089F"/>
    <w:rsid w:val="00C5114A"/>
    <w:rsid w:val="00C51D1A"/>
    <w:rsid w:val="00C53ECF"/>
    <w:rsid w:val="00C54520"/>
    <w:rsid w:val="00C550C5"/>
    <w:rsid w:val="00C551FD"/>
    <w:rsid w:val="00C60D80"/>
    <w:rsid w:val="00C616F8"/>
    <w:rsid w:val="00C61905"/>
    <w:rsid w:val="00C61D59"/>
    <w:rsid w:val="00C624ED"/>
    <w:rsid w:val="00C632E8"/>
    <w:rsid w:val="00C63A0A"/>
    <w:rsid w:val="00C659A5"/>
    <w:rsid w:val="00C65FAC"/>
    <w:rsid w:val="00C67696"/>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6715"/>
    <w:rsid w:val="00C86BE7"/>
    <w:rsid w:val="00C90912"/>
    <w:rsid w:val="00C90F33"/>
    <w:rsid w:val="00C93734"/>
    <w:rsid w:val="00C9413B"/>
    <w:rsid w:val="00C94B98"/>
    <w:rsid w:val="00C97324"/>
    <w:rsid w:val="00CA1776"/>
    <w:rsid w:val="00CA275E"/>
    <w:rsid w:val="00CA4DE9"/>
    <w:rsid w:val="00CA4E25"/>
    <w:rsid w:val="00CA59A3"/>
    <w:rsid w:val="00CA605D"/>
    <w:rsid w:val="00CA7441"/>
    <w:rsid w:val="00CA76B6"/>
    <w:rsid w:val="00CA7C10"/>
    <w:rsid w:val="00CB065B"/>
    <w:rsid w:val="00CB0721"/>
    <w:rsid w:val="00CB1AF4"/>
    <w:rsid w:val="00CB38D7"/>
    <w:rsid w:val="00CB51F1"/>
    <w:rsid w:val="00CB62A7"/>
    <w:rsid w:val="00CB737E"/>
    <w:rsid w:val="00CB7FA8"/>
    <w:rsid w:val="00CC11E7"/>
    <w:rsid w:val="00CC4294"/>
    <w:rsid w:val="00CC48BE"/>
    <w:rsid w:val="00CC7862"/>
    <w:rsid w:val="00CC7CD8"/>
    <w:rsid w:val="00CC7D96"/>
    <w:rsid w:val="00CD010D"/>
    <w:rsid w:val="00CD1102"/>
    <w:rsid w:val="00CD1ED4"/>
    <w:rsid w:val="00CD2FCD"/>
    <w:rsid w:val="00CD37F3"/>
    <w:rsid w:val="00CD573F"/>
    <w:rsid w:val="00CD7A35"/>
    <w:rsid w:val="00CD7F61"/>
    <w:rsid w:val="00CD7F62"/>
    <w:rsid w:val="00CE348D"/>
    <w:rsid w:val="00CE5319"/>
    <w:rsid w:val="00CE6710"/>
    <w:rsid w:val="00CE7D5B"/>
    <w:rsid w:val="00CF1431"/>
    <w:rsid w:val="00CF15D2"/>
    <w:rsid w:val="00CF167B"/>
    <w:rsid w:val="00CF270A"/>
    <w:rsid w:val="00CF3B3E"/>
    <w:rsid w:val="00CF60EE"/>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42EE"/>
    <w:rsid w:val="00D145D0"/>
    <w:rsid w:val="00D1631B"/>
    <w:rsid w:val="00D16B4B"/>
    <w:rsid w:val="00D17AAD"/>
    <w:rsid w:val="00D224BD"/>
    <w:rsid w:val="00D228A4"/>
    <w:rsid w:val="00D22DDF"/>
    <w:rsid w:val="00D2352F"/>
    <w:rsid w:val="00D25A92"/>
    <w:rsid w:val="00D2723C"/>
    <w:rsid w:val="00D323B9"/>
    <w:rsid w:val="00D32C93"/>
    <w:rsid w:val="00D33695"/>
    <w:rsid w:val="00D3414C"/>
    <w:rsid w:val="00D34FFD"/>
    <w:rsid w:val="00D37315"/>
    <w:rsid w:val="00D4055C"/>
    <w:rsid w:val="00D43A68"/>
    <w:rsid w:val="00D43B12"/>
    <w:rsid w:val="00D43BEA"/>
    <w:rsid w:val="00D44274"/>
    <w:rsid w:val="00D464EF"/>
    <w:rsid w:val="00D46979"/>
    <w:rsid w:val="00D532A8"/>
    <w:rsid w:val="00D539DE"/>
    <w:rsid w:val="00D53AF8"/>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4B95"/>
    <w:rsid w:val="00D750DA"/>
    <w:rsid w:val="00D76038"/>
    <w:rsid w:val="00D76DE1"/>
    <w:rsid w:val="00D77835"/>
    <w:rsid w:val="00D80B9B"/>
    <w:rsid w:val="00D8192A"/>
    <w:rsid w:val="00D82B75"/>
    <w:rsid w:val="00D83C07"/>
    <w:rsid w:val="00D87616"/>
    <w:rsid w:val="00D91FDB"/>
    <w:rsid w:val="00D9215B"/>
    <w:rsid w:val="00D94BB8"/>
    <w:rsid w:val="00D95AFC"/>
    <w:rsid w:val="00D964D0"/>
    <w:rsid w:val="00D97716"/>
    <w:rsid w:val="00D97732"/>
    <w:rsid w:val="00DA02F3"/>
    <w:rsid w:val="00DA1D94"/>
    <w:rsid w:val="00DA3353"/>
    <w:rsid w:val="00DA51A9"/>
    <w:rsid w:val="00DA6FE1"/>
    <w:rsid w:val="00DB0E02"/>
    <w:rsid w:val="00DB425E"/>
    <w:rsid w:val="00DB54D0"/>
    <w:rsid w:val="00DB7C37"/>
    <w:rsid w:val="00DB7E6B"/>
    <w:rsid w:val="00DC27F4"/>
    <w:rsid w:val="00DC2981"/>
    <w:rsid w:val="00DC3266"/>
    <w:rsid w:val="00DC4976"/>
    <w:rsid w:val="00DC5075"/>
    <w:rsid w:val="00DC6C8F"/>
    <w:rsid w:val="00DC70C0"/>
    <w:rsid w:val="00DD095A"/>
    <w:rsid w:val="00DD2863"/>
    <w:rsid w:val="00DD2E38"/>
    <w:rsid w:val="00DD58CC"/>
    <w:rsid w:val="00DD766C"/>
    <w:rsid w:val="00DD7929"/>
    <w:rsid w:val="00DE1725"/>
    <w:rsid w:val="00DE17FC"/>
    <w:rsid w:val="00DE1BF4"/>
    <w:rsid w:val="00DE2678"/>
    <w:rsid w:val="00DE47E2"/>
    <w:rsid w:val="00DE5114"/>
    <w:rsid w:val="00DE5588"/>
    <w:rsid w:val="00DE5F3A"/>
    <w:rsid w:val="00DE7B63"/>
    <w:rsid w:val="00DF0D2C"/>
    <w:rsid w:val="00DF0D6A"/>
    <w:rsid w:val="00DF13DC"/>
    <w:rsid w:val="00DF181B"/>
    <w:rsid w:val="00DF47F1"/>
    <w:rsid w:val="00DF4FE7"/>
    <w:rsid w:val="00DF55A3"/>
    <w:rsid w:val="00DF5629"/>
    <w:rsid w:val="00DF619C"/>
    <w:rsid w:val="00DF6440"/>
    <w:rsid w:val="00DF6A60"/>
    <w:rsid w:val="00E07B03"/>
    <w:rsid w:val="00E1024A"/>
    <w:rsid w:val="00E11296"/>
    <w:rsid w:val="00E12CE1"/>
    <w:rsid w:val="00E143EA"/>
    <w:rsid w:val="00E14A00"/>
    <w:rsid w:val="00E14A32"/>
    <w:rsid w:val="00E15595"/>
    <w:rsid w:val="00E16B31"/>
    <w:rsid w:val="00E171AD"/>
    <w:rsid w:val="00E17D23"/>
    <w:rsid w:val="00E207EB"/>
    <w:rsid w:val="00E2131F"/>
    <w:rsid w:val="00E214D6"/>
    <w:rsid w:val="00E22394"/>
    <w:rsid w:val="00E22626"/>
    <w:rsid w:val="00E231F9"/>
    <w:rsid w:val="00E2393C"/>
    <w:rsid w:val="00E2502B"/>
    <w:rsid w:val="00E271B4"/>
    <w:rsid w:val="00E274AB"/>
    <w:rsid w:val="00E27C93"/>
    <w:rsid w:val="00E309CB"/>
    <w:rsid w:val="00E33098"/>
    <w:rsid w:val="00E3332D"/>
    <w:rsid w:val="00E334DE"/>
    <w:rsid w:val="00E3390D"/>
    <w:rsid w:val="00E34ED3"/>
    <w:rsid w:val="00E35C95"/>
    <w:rsid w:val="00E36BC6"/>
    <w:rsid w:val="00E37A50"/>
    <w:rsid w:val="00E37B2F"/>
    <w:rsid w:val="00E4061E"/>
    <w:rsid w:val="00E40EB9"/>
    <w:rsid w:val="00E410E5"/>
    <w:rsid w:val="00E429D6"/>
    <w:rsid w:val="00E43DCA"/>
    <w:rsid w:val="00E470DE"/>
    <w:rsid w:val="00E474BB"/>
    <w:rsid w:val="00E47E39"/>
    <w:rsid w:val="00E50474"/>
    <w:rsid w:val="00E5105B"/>
    <w:rsid w:val="00E516E3"/>
    <w:rsid w:val="00E517C7"/>
    <w:rsid w:val="00E51E13"/>
    <w:rsid w:val="00E52855"/>
    <w:rsid w:val="00E52B1E"/>
    <w:rsid w:val="00E52BA0"/>
    <w:rsid w:val="00E52DD1"/>
    <w:rsid w:val="00E53537"/>
    <w:rsid w:val="00E544C3"/>
    <w:rsid w:val="00E55419"/>
    <w:rsid w:val="00E562BB"/>
    <w:rsid w:val="00E57E85"/>
    <w:rsid w:val="00E61515"/>
    <w:rsid w:val="00E62CE6"/>
    <w:rsid w:val="00E63E56"/>
    <w:rsid w:val="00E659DE"/>
    <w:rsid w:val="00E65EFD"/>
    <w:rsid w:val="00E66181"/>
    <w:rsid w:val="00E66B56"/>
    <w:rsid w:val="00E7234E"/>
    <w:rsid w:val="00E74110"/>
    <w:rsid w:val="00E74450"/>
    <w:rsid w:val="00E76457"/>
    <w:rsid w:val="00E80FD5"/>
    <w:rsid w:val="00E8182D"/>
    <w:rsid w:val="00E81FEF"/>
    <w:rsid w:val="00E851E8"/>
    <w:rsid w:val="00E85D4A"/>
    <w:rsid w:val="00E86537"/>
    <w:rsid w:val="00E86A1E"/>
    <w:rsid w:val="00E86E72"/>
    <w:rsid w:val="00E878C8"/>
    <w:rsid w:val="00E90616"/>
    <w:rsid w:val="00E944F5"/>
    <w:rsid w:val="00E94E13"/>
    <w:rsid w:val="00E95013"/>
    <w:rsid w:val="00E95C54"/>
    <w:rsid w:val="00E96843"/>
    <w:rsid w:val="00E97707"/>
    <w:rsid w:val="00EA13CD"/>
    <w:rsid w:val="00EA38AE"/>
    <w:rsid w:val="00EA7211"/>
    <w:rsid w:val="00EB275D"/>
    <w:rsid w:val="00EB4D67"/>
    <w:rsid w:val="00EB76AD"/>
    <w:rsid w:val="00EC0DF0"/>
    <w:rsid w:val="00EC1071"/>
    <w:rsid w:val="00EC1123"/>
    <w:rsid w:val="00EC146F"/>
    <w:rsid w:val="00EC1554"/>
    <w:rsid w:val="00EC3121"/>
    <w:rsid w:val="00EC421D"/>
    <w:rsid w:val="00EC4EB8"/>
    <w:rsid w:val="00EC574D"/>
    <w:rsid w:val="00EC75CE"/>
    <w:rsid w:val="00EC7D10"/>
    <w:rsid w:val="00ED06AF"/>
    <w:rsid w:val="00ED1106"/>
    <w:rsid w:val="00ED5B2E"/>
    <w:rsid w:val="00EE01B1"/>
    <w:rsid w:val="00EE0F4C"/>
    <w:rsid w:val="00EE0F60"/>
    <w:rsid w:val="00EE107F"/>
    <w:rsid w:val="00EE117A"/>
    <w:rsid w:val="00EE11AB"/>
    <w:rsid w:val="00EE1DB0"/>
    <w:rsid w:val="00EE25B0"/>
    <w:rsid w:val="00EE2B37"/>
    <w:rsid w:val="00EE31F1"/>
    <w:rsid w:val="00EE3BB5"/>
    <w:rsid w:val="00EE59A1"/>
    <w:rsid w:val="00EE713D"/>
    <w:rsid w:val="00EF13A1"/>
    <w:rsid w:val="00EF4082"/>
    <w:rsid w:val="00EF56A2"/>
    <w:rsid w:val="00EF5DCB"/>
    <w:rsid w:val="00EF72E5"/>
    <w:rsid w:val="00EF7EB0"/>
    <w:rsid w:val="00F02200"/>
    <w:rsid w:val="00F02DF6"/>
    <w:rsid w:val="00F03865"/>
    <w:rsid w:val="00F0472B"/>
    <w:rsid w:val="00F0772B"/>
    <w:rsid w:val="00F07EF9"/>
    <w:rsid w:val="00F11B9C"/>
    <w:rsid w:val="00F12B94"/>
    <w:rsid w:val="00F14689"/>
    <w:rsid w:val="00F14905"/>
    <w:rsid w:val="00F15054"/>
    <w:rsid w:val="00F17084"/>
    <w:rsid w:val="00F2012D"/>
    <w:rsid w:val="00F21024"/>
    <w:rsid w:val="00F24943"/>
    <w:rsid w:val="00F24AAA"/>
    <w:rsid w:val="00F24C54"/>
    <w:rsid w:val="00F257FF"/>
    <w:rsid w:val="00F26303"/>
    <w:rsid w:val="00F2665A"/>
    <w:rsid w:val="00F27780"/>
    <w:rsid w:val="00F27D77"/>
    <w:rsid w:val="00F3017F"/>
    <w:rsid w:val="00F302CD"/>
    <w:rsid w:val="00F30A36"/>
    <w:rsid w:val="00F30CEB"/>
    <w:rsid w:val="00F311E4"/>
    <w:rsid w:val="00F32097"/>
    <w:rsid w:val="00F3422A"/>
    <w:rsid w:val="00F357DC"/>
    <w:rsid w:val="00F379DD"/>
    <w:rsid w:val="00F411B3"/>
    <w:rsid w:val="00F41977"/>
    <w:rsid w:val="00F436E3"/>
    <w:rsid w:val="00F44428"/>
    <w:rsid w:val="00F46BB0"/>
    <w:rsid w:val="00F476CE"/>
    <w:rsid w:val="00F47B2A"/>
    <w:rsid w:val="00F5147A"/>
    <w:rsid w:val="00F51DD9"/>
    <w:rsid w:val="00F60CCD"/>
    <w:rsid w:val="00F646D9"/>
    <w:rsid w:val="00F64A14"/>
    <w:rsid w:val="00F665B7"/>
    <w:rsid w:val="00F67005"/>
    <w:rsid w:val="00F67E74"/>
    <w:rsid w:val="00F70374"/>
    <w:rsid w:val="00F7085E"/>
    <w:rsid w:val="00F72C5F"/>
    <w:rsid w:val="00F73A49"/>
    <w:rsid w:val="00F759A1"/>
    <w:rsid w:val="00F75ADB"/>
    <w:rsid w:val="00F764EE"/>
    <w:rsid w:val="00F76FC2"/>
    <w:rsid w:val="00F80A4A"/>
    <w:rsid w:val="00F80ED4"/>
    <w:rsid w:val="00F81F1B"/>
    <w:rsid w:val="00F8287A"/>
    <w:rsid w:val="00F835E7"/>
    <w:rsid w:val="00F91877"/>
    <w:rsid w:val="00F91A0E"/>
    <w:rsid w:val="00F92AE6"/>
    <w:rsid w:val="00F93C49"/>
    <w:rsid w:val="00F94062"/>
    <w:rsid w:val="00F945D2"/>
    <w:rsid w:val="00F94CD5"/>
    <w:rsid w:val="00F965FD"/>
    <w:rsid w:val="00F97120"/>
    <w:rsid w:val="00FA0141"/>
    <w:rsid w:val="00FA1988"/>
    <w:rsid w:val="00FA25F6"/>
    <w:rsid w:val="00FA27DE"/>
    <w:rsid w:val="00FA367D"/>
    <w:rsid w:val="00FA43BC"/>
    <w:rsid w:val="00FA4796"/>
    <w:rsid w:val="00FA54D8"/>
    <w:rsid w:val="00FA682B"/>
    <w:rsid w:val="00FA6A39"/>
    <w:rsid w:val="00FA6FF9"/>
    <w:rsid w:val="00FA7AAC"/>
    <w:rsid w:val="00FB10FC"/>
    <w:rsid w:val="00FB28BE"/>
    <w:rsid w:val="00FB2CE7"/>
    <w:rsid w:val="00FB3057"/>
    <w:rsid w:val="00FB39CC"/>
    <w:rsid w:val="00FB3CD3"/>
    <w:rsid w:val="00FB3EFB"/>
    <w:rsid w:val="00FB4FCF"/>
    <w:rsid w:val="00FB5EC4"/>
    <w:rsid w:val="00FB60AE"/>
    <w:rsid w:val="00FB62BD"/>
    <w:rsid w:val="00FB6349"/>
    <w:rsid w:val="00FB7234"/>
    <w:rsid w:val="00FC2116"/>
    <w:rsid w:val="00FC3A79"/>
    <w:rsid w:val="00FC3C71"/>
    <w:rsid w:val="00FC3EDB"/>
    <w:rsid w:val="00FC490E"/>
    <w:rsid w:val="00FC4A15"/>
    <w:rsid w:val="00FC5891"/>
    <w:rsid w:val="00FC5E48"/>
    <w:rsid w:val="00FD0C3F"/>
    <w:rsid w:val="00FD0D11"/>
    <w:rsid w:val="00FD1E6A"/>
    <w:rsid w:val="00FD2475"/>
    <w:rsid w:val="00FD3D05"/>
    <w:rsid w:val="00FD74CD"/>
    <w:rsid w:val="00FD7780"/>
    <w:rsid w:val="00FE12B3"/>
    <w:rsid w:val="00FE1E1C"/>
    <w:rsid w:val="00FE2628"/>
    <w:rsid w:val="00FE2C54"/>
    <w:rsid w:val="00FE37CF"/>
    <w:rsid w:val="00FE3BF8"/>
    <w:rsid w:val="00FE4EDC"/>
    <w:rsid w:val="00FE5C5C"/>
    <w:rsid w:val="00FE5C75"/>
    <w:rsid w:val="00FE5F17"/>
    <w:rsid w:val="00FE7B30"/>
    <w:rsid w:val="00FF1D1C"/>
    <w:rsid w:val="00FF1E27"/>
    <w:rsid w:val="00FF20AD"/>
    <w:rsid w:val="00FF25C4"/>
    <w:rsid w:val="00FF45B5"/>
    <w:rsid w:val="00FF5167"/>
    <w:rsid w:val="00FF6D27"/>
    <w:rsid w:val="00FF7034"/>
    <w:rsid w:val="01358501"/>
    <w:rsid w:val="023E098D"/>
    <w:rsid w:val="0333B8FD"/>
    <w:rsid w:val="0860CC3E"/>
    <w:rsid w:val="09BBCC94"/>
    <w:rsid w:val="0E0EDA84"/>
    <w:rsid w:val="10140B61"/>
    <w:rsid w:val="1158E31D"/>
    <w:rsid w:val="165643BC"/>
    <w:rsid w:val="17486BCC"/>
    <w:rsid w:val="176EBCAA"/>
    <w:rsid w:val="181AFE13"/>
    <w:rsid w:val="19B91419"/>
    <w:rsid w:val="1A13E1F4"/>
    <w:rsid w:val="1C044598"/>
    <w:rsid w:val="1D7500CD"/>
    <w:rsid w:val="210A8FA2"/>
    <w:rsid w:val="23D794B9"/>
    <w:rsid w:val="249E5960"/>
    <w:rsid w:val="252AB5DA"/>
    <w:rsid w:val="25C3DAB1"/>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55AD6F57"/>
    <w:rsid w:val="58EC049B"/>
    <w:rsid w:val="594587C4"/>
    <w:rsid w:val="59FCCCE4"/>
    <w:rsid w:val="5B5630AF"/>
    <w:rsid w:val="5B9F3E50"/>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FA4DC6F-F8CF-42B9-B72C-22174EA96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1602</TotalTime>
  <Pages>5</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v2</cp:lastModifiedBy>
  <cp:revision>230</cp:revision>
  <dcterms:created xsi:type="dcterms:W3CDTF">2021-11-26T03:33:00Z</dcterms:created>
  <dcterms:modified xsi:type="dcterms:W3CDTF">2022-11-03T14:56:00Z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